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center"/>
        <w:rPr>
          <w:rFonts w:hint="eastAsia" w:ascii="微软雅黑" w:hAnsi="微软雅黑" w:eastAsia="宋体" w:cs="宋体"/>
          <w:b/>
          <w:bCs/>
          <w:color w:val="333333"/>
          <w:kern w:val="0"/>
          <w:sz w:val="45"/>
          <w:szCs w:val="45"/>
        </w:rPr>
      </w:pPr>
      <w:r>
        <w:rPr>
          <w:rFonts w:ascii="微软雅黑" w:hAnsi="微软雅黑" w:eastAsia="宋体" w:cs="宋体"/>
          <w:b/>
          <w:bCs/>
          <w:color w:val="333333"/>
          <w:kern w:val="0"/>
          <w:sz w:val="45"/>
          <w:szCs w:val="45"/>
        </w:rPr>
        <w:t>2022年全国会计</w:t>
      </w:r>
      <w:r>
        <w:rPr>
          <w:rFonts w:hint="eastAsia" w:ascii="微软雅黑" w:hAnsi="微软雅黑" w:eastAsia="宋体" w:cs="宋体"/>
          <w:b/>
          <w:bCs/>
          <w:color w:val="333333"/>
          <w:kern w:val="0"/>
          <w:sz w:val="45"/>
          <w:szCs w:val="45"/>
        </w:rPr>
        <w:t>专业技术</w:t>
      </w:r>
      <w:r>
        <w:rPr>
          <w:rFonts w:hint="eastAsia" w:ascii="微软雅黑" w:hAnsi="微软雅黑" w:eastAsia="宋体" w:cs="宋体"/>
          <w:b/>
          <w:bCs/>
          <w:color w:val="333333"/>
          <w:kern w:val="0"/>
          <w:sz w:val="45"/>
          <w:szCs w:val="45"/>
          <w:lang w:eastAsia="zh-CN"/>
        </w:rPr>
        <w:t>中级</w:t>
      </w:r>
      <w:r>
        <w:rPr>
          <w:rFonts w:hint="eastAsia" w:ascii="微软雅黑" w:hAnsi="微软雅黑" w:eastAsia="宋体" w:cs="宋体"/>
          <w:b/>
          <w:bCs/>
          <w:color w:val="333333"/>
          <w:kern w:val="0"/>
          <w:sz w:val="45"/>
          <w:szCs w:val="45"/>
        </w:rPr>
        <w:t>资格</w:t>
      </w:r>
      <w:r>
        <w:rPr>
          <w:rFonts w:ascii="微软雅黑" w:hAnsi="微软雅黑" w:eastAsia="宋体" w:cs="宋体"/>
          <w:b/>
          <w:bCs/>
          <w:color w:val="333333"/>
          <w:kern w:val="0"/>
          <w:sz w:val="45"/>
          <w:szCs w:val="45"/>
        </w:rPr>
        <w:t>考试（丹东考区）</w:t>
      </w:r>
      <w:r>
        <w:rPr>
          <w:rFonts w:hint="eastAsia" w:ascii="微软雅黑" w:hAnsi="微软雅黑" w:eastAsia="宋体" w:cs="宋体"/>
          <w:b/>
          <w:bCs/>
          <w:color w:val="333333"/>
          <w:kern w:val="0"/>
          <w:sz w:val="45"/>
          <w:szCs w:val="45"/>
        </w:rPr>
        <w:t>新冠肺炎疫情</w:t>
      </w:r>
      <w:r>
        <w:rPr>
          <w:rFonts w:ascii="微软雅黑" w:hAnsi="微软雅黑" w:eastAsia="宋体" w:cs="宋体"/>
          <w:b/>
          <w:bCs/>
          <w:color w:val="333333"/>
          <w:kern w:val="0"/>
          <w:sz w:val="45"/>
          <w:szCs w:val="45"/>
        </w:rPr>
        <w:t>防控告知书</w:t>
      </w:r>
    </w:p>
    <w:p>
      <w:pPr>
        <w:widowControl/>
        <w:spacing w:line="600" w:lineRule="atLeast"/>
        <w:jc w:val="left"/>
        <w:rPr>
          <w:rFonts w:ascii="仿宋_GB2312" w:hAnsi="宋体" w:eastAsia="仿宋_GB2312" w:cs="宋体"/>
          <w:color w:val="333333"/>
          <w:kern w:val="0"/>
          <w:sz w:val="30"/>
          <w:szCs w:val="30"/>
        </w:rPr>
      </w:pPr>
      <w:r>
        <w:rPr>
          <w:rFonts w:hint="eastAsia" w:ascii="宋体" w:hAnsi="宋体" w:eastAsia="宋体" w:cs="宋体"/>
          <w:color w:val="333333"/>
          <w:kern w:val="0"/>
          <w:sz w:val="30"/>
          <w:szCs w:val="30"/>
        </w:rPr>
        <w:t>　</w:t>
      </w:r>
      <w:r>
        <w:rPr>
          <w:rFonts w:hint="eastAsia" w:ascii="仿宋_GB2312" w:hAnsi="宋体" w:eastAsia="仿宋_GB2312" w:cs="宋体"/>
          <w:color w:val="333333"/>
          <w:kern w:val="0"/>
          <w:sz w:val="30"/>
          <w:szCs w:val="30"/>
        </w:rPr>
        <w:t>　为保障广大考生和考试工作人员的生命安全和身体健康，确保2022年度全国会计专业技术</w:t>
      </w:r>
      <w:r>
        <w:rPr>
          <w:rFonts w:hint="eastAsia" w:ascii="仿宋_GB2312" w:hAnsi="宋体" w:eastAsia="仿宋_GB2312" w:cs="宋体"/>
          <w:color w:val="333333"/>
          <w:kern w:val="0"/>
          <w:sz w:val="30"/>
          <w:szCs w:val="30"/>
          <w:lang w:eastAsia="zh-CN"/>
        </w:rPr>
        <w:t>中级</w:t>
      </w:r>
      <w:r>
        <w:rPr>
          <w:rFonts w:hint="eastAsia" w:ascii="仿宋_GB2312" w:hAnsi="宋体" w:eastAsia="仿宋_GB2312" w:cs="宋体"/>
          <w:color w:val="333333"/>
          <w:kern w:val="0"/>
          <w:sz w:val="30"/>
          <w:szCs w:val="30"/>
        </w:rPr>
        <w:t>资格考试（丹东考区）安全平稳顺利实施，根据当前国家、辽宁省及丹东市新冠肺炎疫情防控工作最新要求，结合考试工作实际，现将我市考试疫情防控要求和措施告知如下，请考生务必充分知晓并遵照执行。</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考生应主动了解并严格遵守丹东市疫情防控要求，随时关注丹东市卫生健康委或疾病预防控制中心等部门的官网或官方微信号发布的疫情防控权威信息，充分了解丹东市对中、高风险地区和低风险地区人员的疫情防控具体要求，积极配合考点、考场做好现场防疫工作。请考生结合自身实际情况执行考点所在地疫情防控政策，及时全面了解和遵守丹东市对于外来人员信息报备、抵达后健康监测和核酸检测等疫情防控要求，建议预留提前量(以各地疫情防控政策为准)抵达考点所在地，避免因旅居史、接触史等原因被管控而影响正常参加考试。考生不得以参加考试为由拒绝执行属地疫情管控措施。</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三、考试当天，有以下情形之一者不得参加考试：</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(一)仍在隔离治疗期的新冠肺炎确诊病例、疑似病例或无症状感染者;</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(二)新冠肺炎确诊病例、疑似病例和无症状感染者的密切接触者或次级密接者以及尚未完成隔离医学观察等健康管理的人员;</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隔离期未满或因属地疫情防控要求被管控的考生(依据考点城市或出发地城市疫情防控要求，应当或正在实施集中隔离、居家隔离人员以及其他不得参加聚集性活动的人员。具体范围可查询丹东市卫生健康、疾控中心网站或微信公众号，考生不得以参加考试为由拒绝执行属地疫情管控措施);</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(四)不能按要求提供相应核酸检测阴性证明的人员;</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(五)“辽事通健康码”非绿码，经考点防疫副主考综合研判不具备参加考试条件的人员;</w:t>
      </w:r>
    </w:p>
    <w:p>
      <w:pPr>
        <w:widowControl/>
        <w:spacing w:line="600" w:lineRule="atLeast"/>
        <w:ind w:firstLine="600"/>
        <w:jc w:val="left"/>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(六)进入考点前，因体温异常、干咳、乏力等症状经考点防疫副主考综合研判不具备参加考试条件的人员。</w:t>
      </w:r>
    </w:p>
    <w:p>
      <w:pPr>
        <w:widowControl/>
        <w:spacing w:line="600" w:lineRule="atLeast"/>
        <w:ind w:firstLine="600"/>
        <w:jc w:val="left"/>
        <w:rPr>
          <w:rFonts w:hint="eastAsia" w:ascii="仿宋_GB2312" w:hAnsi="宋体" w:eastAsia="仿宋_GB2312" w:cs="宋体"/>
          <w:color w:val="333333"/>
          <w:kern w:val="0"/>
          <w:sz w:val="30"/>
          <w:szCs w:val="30"/>
          <w:lang w:val="en-US" w:eastAsia="zh-CN"/>
        </w:rPr>
      </w:pPr>
      <w:r>
        <w:rPr>
          <w:rFonts w:hint="eastAsia" w:ascii="仿宋_GB2312" w:hAnsi="宋体" w:eastAsia="仿宋_GB2312" w:cs="宋体"/>
          <w:color w:val="333333"/>
          <w:kern w:val="0"/>
          <w:sz w:val="30"/>
          <w:szCs w:val="30"/>
          <w:lang w:val="en-US" w:eastAsia="zh-CN"/>
        </w:rPr>
        <w:t>（七）违反本地疫情防控政策的域外来（返））丹人员。</w:t>
      </w:r>
    </w:p>
    <w:p>
      <w:pPr>
        <w:widowControl/>
        <w:spacing w:line="600" w:lineRule="atLeast"/>
        <w:ind w:firstLine="600"/>
        <w:jc w:val="left"/>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若考生存在不得参加考试的情形，则不得进入考点考场，否则将按违反疫情防控要求处理，一切后果由考生自行承担。</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四、考生须提供符合防疫要求的核酸检测阴性证明</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(一)核酸检测阴性证明必须是有资质的核酸检测机构出具，纸质版或电子版(截屏)均可，要求能明确显示核酸检测报告时间和核酸检测的地点。</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考生应提供本人本场考试考前48小时内核酸检测阴性证明。7天内有低风险区旅居史的考生，还需提供考点所在地3天内两次核酸检测阴性证明(间隔时间需超过24小时)。低风险区是指国务院应对新型冠状病毒肺炎疫情联防联控机制印发的《新型冠状病毒肺炎防控方案(第九版)》中规定的中、高风险区所在县(市、区、旗)的其他地区。</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注：支付宝中的健康码→辽宁省核酸检测结果→历史记录中可显示3天内两次核酸检测阴性证明。</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丹东域外考生到达丹东市后，按丹东市现行防疫政策执行。</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(三)考生应根据本人参加考试的时间和核酸检测报告所需时间，合理安排核酸检测，确保核酸检测报告时间符合要求，以免影响参加考试。</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五、每场考试前，考生应至少提前</w:t>
      </w:r>
      <w:r>
        <w:rPr>
          <w:rFonts w:hint="eastAsia" w:ascii="仿宋_GB2312" w:hAnsi="宋体" w:eastAsia="仿宋_GB2312" w:cs="宋体"/>
          <w:color w:val="333333"/>
          <w:kern w:val="0"/>
          <w:sz w:val="30"/>
          <w:szCs w:val="30"/>
          <w:lang w:val="en-US" w:eastAsia="zh-CN"/>
        </w:rPr>
        <w:t>60</w:t>
      </w:r>
      <w:r>
        <w:rPr>
          <w:rFonts w:hint="eastAsia" w:ascii="仿宋_GB2312" w:hAnsi="宋体" w:eastAsia="仿宋_GB2312" w:cs="宋体"/>
          <w:color w:val="333333"/>
          <w:kern w:val="0"/>
          <w:sz w:val="30"/>
          <w:szCs w:val="30"/>
        </w:rPr>
        <w:t>分钟到达考点，在考点入口防疫检测点有序排队，规范佩戴口罩，保持1米以上间隔距离，并提前准备好(1)本人有效身份证件原件;(2)纸质准考证;(3)“辽事通健康码”(绿码);(4)“通信大数据行程卡”;(5)本人相应的核酸检测阴性证明;(6)《个人健康情况排查表》(见附件，考生应提前下载并填写)，配合工作人员做好入场验码和测温，经现场核验，“辽事通健康码”、“通信大数据行程卡”、核酸检测报告及《个人健康情况排查表》，均符合要求，体温正常(&lt;37.3℃)且无咳嗽等呼吸道异常症状者，方可进入考点。</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入场时体温复测仍异常(≥37.3℃)、有干咳等呼吸道症状、“辽事通健康码”、“通信大数据行程卡”、《个人健康情况排查表》异常的，除按规定要求提供相应的核酸检测阴性证明外，还应提供三级甲等医院出具的医学诊断证明或经考点防疫副主考综合研判具备参考条件的，方可参加考试。</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六、请考生做好自我防护</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一)考生在备考期间，务必做好个人防护。备考期间不得前往国内疫情中高风险地区或国(境)外;避免与新冠肺炎确诊病例、疑似病例、无症状感染者及国内疫情中高风险地区人员或近期国(境)外返丹人员接触;不参加聚集性活动，不到人群密集场所;在公共场所应佩戴口罩，注意保持安全社交距离，做好手部卫生。建议考生在无禁忌症的情况下“应接尽接”，提前完成全程新冠疫苗接种，符合接种条件的需接种“加强针”。</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接送考生的车辆要做到即停即走，请勿在考点周边道路口或附近区域停留，送考人员不得进入考点和在考点周围聚集。</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(三)考试当天，考生应自备符合防疫要求的一次性医用外科口罩。考试期间，除身份确认需摘除口罩以外，应全程规范佩戴。</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(四)每场考试结束后，考生应按监考人员或广播指示有序离场，不得拥挤，要保持安全距离。</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七、考生应认真阅读《2022年全国会计专业技术</w:t>
      </w:r>
      <w:r>
        <w:rPr>
          <w:rFonts w:hint="eastAsia" w:ascii="仿宋_GB2312" w:hAnsi="宋体" w:eastAsia="仿宋_GB2312" w:cs="宋体"/>
          <w:color w:val="333333"/>
          <w:kern w:val="0"/>
          <w:sz w:val="30"/>
          <w:szCs w:val="30"/>
          <w:lang w:eastAsia="zh-CN"/>
        </w:rPr>
        <w:t>中级</w:t>
      </w:r>
      <w:r>
        <w:rPr>
          <w:rFonts w:hint="eastAsia" w:ascii="仿宋_GB2312" w:hAnsi="宋体" w:eastAsia="仿宋_GB2312" w:cs="宋体"/>
          <w:color w:val="333333"/>
          <w:kern w:val="0"/>
          <w:sz w:val="30"/>
          <w:szCs w:val="30"/>
        </w:rPr>
        <w:t>资格考试（丹东考区）新冠肺炎疫情防控告知书》，提前打印准考证并做好相应准备。考生打印准考证即视为阅知并认同告知书内容。如违反相关规定，自愿承担相关责任、接受相应处理。</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widowControl/>
        <w:spacing w:line="600" w:lineRule="atLeast"/>
        <w:jc w:val="left"/>
        <w:rPr>
          <w:rFonts w:hint="eastAsia" w:ascii="仿宋_GB2312" w:hAnsi="宋体" w:eastAsia="仿宋_GB2312" w:cs="宋体"/>
          <w:b/>
          <w:bCs/>
          <w:color w:val="333333"/>
          <w:kern w:val="0"/>
          <w:sz w:val="30"/>
          <w:szCs w:val="30"/>
          <w:lang w:val="en-US" w:eastAsia="zh-CN"/>
        </w:rPr>
      </w:pPr>
      <w:r>
        <w:rPr>
          <w:rFonts w:hint="eastAsia" w:ascii="仿宋_GB2312" w:hAnsi="宋体" w:eastAsia="仿宋_GB2312" w:cs="宋体"/>
          <w:color w:val="333333"/>
          <w:kern w:val="0"/>
          <w:sz w:val="30"/>
          <w:szCs w:val="30"/>
        </w:rPr>
        <w:t>　　九、本次考试疫情防控要求将根据国家、辽宁省、丹东市疫情防控的总体部署和最新要求进行动态调整，请广大考生密切关注辽宁会计网官方网站相关通知通告，保持报名时填报的手机号码畅通。</w:t>
      </w:r>
      <w:r>
        <w:rPr>
          <w:rFonts w:hint="eastAsia" w:ascii="仿宋_GB2312" w:hAnsi="宋体" w:eastAsia="仿宋_GB2312" w:cs="宋体"/>
          <w:b/>
          <w:bCs/>
          <w:color w:val="333333"/>
          <w:kern w:val="0"/>
          <w:sz w:val="30"/>
          <w:szCs w:val="30"/>
          <w:lang w:eastAsia="zh-CN"/>
        </w:rPr>
        <w:t>特别提示：域外来（返）丹人员须提前向目的地社区（村）、单位和酒店报备，及时了解本地疫情防控最新政策。</w:t>
      </w:r>
    </w:p>
    <w:p>
      <w:pPr>
        <w:widowControl/>
        <w:spacing w:line="600" w:lineRule="atLeast"/>
        <w:jc w:val="lef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w:t>
      </w:r>
      <w:r>
        <w:rPr>
          <w:rFonts w:hint="eastAsia" w:ascii="仿宋_GB2312" w:hAnsi="宋体" w:eastAsia="仿宋_GB2312" w:cs="宋体"/>
          <w:color w:val="333333"/>
          <w:kern w:val="0"/>
          <w:sz w:val="30"/>
          <w:szCs w:val="30"/>
          <w:lang w:eastAsia="zh-CN"/>
        </w:rPr>
        <w:t>咨询</w:t>
      </w:r>
      <w:r>
        <w:rPr>
          <w:rFonts w:hint="eastAsia" w:ascii="仿宋_GB2312" w:hAnsi="宋体" w:eastAsia="仿宋_GB2312" w:cs="宋体"/>
          <w:color w:val="333333"/>
          <w:kern w:val="0"/>
          <w:sz w:val="30"/>
          <w:szCs w:val="30"/>
        </w:rPr>
        <w:t>电话： 0415-2211236</w:t>
      </w:r>
    </w:p>
    <w:p>
      <w:pPr>
        <w:widowControl/>
        <w:spacing w:line="600" w:lineRule="atLeast"/>
        <w:ind w:firstLine="600"/>
        <w:jc w:val="left"/>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附件：</w:t>
      </w:r>
      <w:r>
        <w:rPr>
          <w:rFonts w:hint="eastAsia" w:ascii="仿宋_GB2312" w:hAnsi="宋体" w:eastAsia="仿宋_GB2312" w:cs="宋体"/>
          <w:color w:val="333333"/>
          <w:kern w:val="0"/>
          <w:sz w:val="30"/>
          <w:szCs w:val="30"/>
        </w:rPr>
        <w:fldChar w:fldCharType="begin"/>
      </w:r>
      <w:r>
        <w:rPr>
          <w:rFonts w:hint="eastAsia" w:ascii="仿宋_GB2312" w:hAnsi="宋体" w:eastAsia="仿宋_GB2312" w:cs="宋体"/>
          <w:color w:val="333333"/>
          <w:kern w:val="0"/>
          <w:sz w:val="30"/>
          <w:szCs w:val="30"/>
        </w:rPr>
        <w:instrText xml:space="preserve"> HYPERLINK "https://files.dandong.gov.cn/files/ueditor/DDSZF/jsp/upload/file/20220702/1656756223675017603.doc" \o "《个人健康情况排查表》" </w:instrText>
      </w:r>
      <w:r>
        <w:rPr>
          <w:rFonts w:hint="eastAsia" w:ascii="仿宋_GB2312" w:hAnsi="宋体" w:eastAsia="仿宋_GB2312" w:cs="宋体"/>
          <w:color w:val="333333"/>
          <w:kern w:val="0"/>
          <w:sz w:val="30"/>
          <w:szCs w:val="30"/>
        </w:rPr>
        <w:fldChar w:fldCharType="separate"/>
      </w:r>
      <w:r>
        <w:rPr>
          <w:rFonts w:hint="eastAsia" w:ascii="仿宋_GB2312" w:hAnsi="宋体" w:eastAsia="仿宋_GB2312" w:cs="宋体"/>
          <w:color w:val="333333"/>
          <w:kern w:val="0"/>
          <w:sz w:val="30"/>
          <w:szCs w:val="30"/>
        </w:rPr>
        <w:t>《个人健康情况排查表》</w:t>
      </w:r>
      <w:r>
        <w:rPr>
          <w:rFonts w:hint="eastAsia" w:ascii="仿宋_GB2312" w:hAnsi="宋体" w:eastAsia="仿宋_GB2312" w:cs="宋体"/>
          <w:color w:val="333333"/>
          <w:kern w:val="0"/>
          <w:sz w:val="30"/>
          <w:szCs w:val="30"/>
        </w:rPr>
        <w:fldChar w:fldCharType="end"/>
      </w:r>
    </w:p>
    <w:p>
      <w:pPr>
        <w:pStyle w:val="2"/>
      </w:pPr>
    </w:p>
    <w:p>
      <w:pPr>
        <w:widowControl/>
        <w:spacing w:line="600" w:lineRule="atLeast"/>
        <w:jc w:val="right"/>
        <w:rPr>
          <w:rFonts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　丹东市会计专业技术资格考试领导小组办公室</w:t>
      </w:r>
    </w:p>
    <w:p>
      <w:pPr>
        <w:widowControl/>
        <w:spacing w:line="600" w:lineRule="atLeast"/>
        <w:ind w:right="1200" w:firstLine="4500" w:firstLineChars="1500"/>
        <w:rPr>
          <w:rFonts w:hint="eastAsia" w:ascii="仿宋_GB2312" w:hAnsi="宋体" w:eastAsia="仿宋_GB2312" w:cs="宋体"/>
          <w:color w:val="333333"/>
          <w:kern w:val="0"/>
          <w:sz w:val="30"/>
          <w:szCs w:val="30"/>
        </w:rPr>
      </w:pPr>
      <w:r>
        <w:rPr>
          <w:rFonts w:hint="eastAsia" w:ascii="仿宋_GB2312" w:hAnsi="宋体" w:eastAsia="仿宋_GB2312" w:cs="宋体"/>
          <w:color w:val="333333"/>
          <w:kern w:val="0"/>
          <w:sz w:val="30"/>
          <w:szCs w:val="30"/>
        </w:rPr>
        <w:t>2022年</w:t>
      </w:r>
      <w:r>
        <w:rPr>
          <w:rFonts w:hint="eastAsia" w:ascii="仿宋_GB2312" w:hAnsi="宋体" w:eastAsia="仿宋_GB2312" w:cs="宋体"/>
          <w:color w:val="333333"/>
          <w:kern w:val="0"/>
          <w:sz w:val="30"/>
          <w:szCs w:val="30"/>
          <w:lang w:val="en-US" w:eastAsia="zh-CN"/>
        </w:rPr>
        <w:t>8</w:t>
      </w:r>
      <w:r>
        <w:rPr>
          <w:rFonts w:hint="eastAsia" w:ascii="仿宋_GB2312" w:hAnsi="宋体" w:eastAsia="仿宋_GB2312" w:cs="宋体"/>
          <w:color w:val="333333"/>
          <w:kern w:val="0"/>
          <w:sz w:val="30"/>
          <w:szCs w:val="30"/>
        </w:rPr>
        <w:t>月</w:t>
      </w:r>
      <w:r>
        <w:rPr>
          <w:rFonts w:hint="eastAsia" w:ascii="仿宋_GB2312" w:hAnsi="宋体" w:eastAsia="仿宋_GB2312" w:cs="宋体"/>
          <w:color w:val="333333"/>
          <w:kern w:val="0"/>
          <w:sz w:val="30"/>
          <w:szCs w:val="30"/>
          <w:lang w:val="en-US" w:eastAsia="zh-CN"/>
        </w:rPr>
        <w:t>29</w:t>
      </w:r>
      <w:r>
        <w:rPr>
          <w:rFonts w:hint="eastAsia" w:ascii="仿宋_GB2312" w:hAnsi="宋体" w:eastAsia="仿宋_GB2312" w:cs="宋体"/>
          <w:color w:val="333333"/>
          <w:kern w:val="0"/>
          <w:sz w:val="30"/>
          <w:szCs w:val="30"/>
        </w:rPr>
        <w:t>日</w:t>
      </w:r>
    </w:p>
    <w:p>
      <w:pPr>
        <w:widowControl/>
        <w:spacing w:line="600" w:lineRule="atLeast"/>
        <w:ind w:right="1200"/>
        <w:rPr>
          <w:rFonts w:hint="eastAsia" w:ascii="仿宋_GB2312" w:hAnsi="宋体" w:eastAsia="仿宋_GB2312" w:cs="宋体"/>
          <w:color w:val="333333"/>
          <w:kern w:val="0"/>
          <w:sz w:val="30"/>
          <w:szCs w:val="30"/>
        </w:rPr>
      </w:pPr>
      <w:bookmarkStart w:id="0" w:name="_GoBack"/>
      <w:bookmarkEnd w:id="0"/>
    </w:p>
    <w:p>
      <w:pPr>
        <w:rPr>
          <w:rFonts w:hint="eastAsia" w:ascii="仿宋_GB2312" w:hAnsi="宋体" w:eastAsia="仿宋_GB2312" w:cs="宋体"/>
          <w:color w:val="333333"/>
          <w:kern w:val="0"/>
          <w:sz w:val="30"/>
          <w:szCs w:val="30"/>
        </w:rPr>
      </w:pPr>
    </w:p>
    <w:p>
      <w:pPr>
        <w:pStyle w:val="2"/>
        <w:spacing w:line="360" w:lineRule="auto"/>
        <w:rPr>
          <w:rFonts w:hint="eastAsia"/>
        </w:rPr>
      </w:pPr>
    </w:p>
    <w:p>
      <w:pPr>
        <w:pStyle w:val="2"/>
        <w:spacing w:line="360" w:lineRule="auto"/>
        <w:rPr>
          <w:rFonts w:hint="eastAsia"/>
        </w:rPr>
      </w:pPr>
    </w:p>
    <w:p>
      <w:pPr>
        <w:rPr>
          <w:rFonts w:hint="eastAsia"/>
        </w:rPr>
      </w:pPr>
    </w:p>
    <w:p>
      <w:pPr>
        <w:pStyle w:val="2"/>
        <w:pageBreakBefore w:val="0"/>
        <w:widowControl w:val="0"/>
        <w:kinsoku/>
        <w:wordWrap/>
        <w:overflowPunct/>
        <w:topLinePunct w:val="0"/>
        <w:autoSpaceDE/>
        <w:autoSpaceDN/>
        <w:bidi w:val="0"/>
        <w:adjustRightInd/>
        <w:snapToGrid/>
        <w:spacing w:line="520" w:lineRule="exact"/>
        <w:textAlignment w:val="auto"/>
        <w:rPr>
          <w:rFonts w:hint="eastAsia"/>
        </w:rPr>
      </w:pPr>
    </w:p>
    <w:p>
      <w:pPr>
        <w:pageBreakBefore w:val="0"/>
        <w:widowControl w:val="0"/>
        <w:kinsoku/>
        <w:wordWrap/>
        <w:overflowPunct/>
        <w:topLinePunct w:val="0"/>
        <w:autoSpaceDE/>
        <w:autoSpaceDN/>
        <w:bidi w:val="0"/>
        <w:adjustRightInd/>
        <w:snapToGrid/>
        <w:spacing w:before="180" w:line="520" w:lineRule="exact"/>
        <w:jc w:val="center"/>
        <w:textAlignment w:val="auto"/>
        <w:rPr>
          <w:rFonts w:ascii="方正小标宋简体" w:eastAsia="方正小标宋简体"/>
          <w:sz w:val="44"/>
          <w:szCs w:val="44"/>
        </w:rPr>
      </w:pPr>
      <w:r>
        <w:rPr>
          <w:rFonts w:hint="eastAsia" w:ascii="方正小标宋简体" w:hAnsi="宋体" w:eastAsia="方正小标宋简体" w:cs="宋体"/>
          <w:spacing w:val="-2"/>
          <w:sz w:val="44"/>
          <w:szCs w:val="44"/>
        </w:rPr>
        <w:t>个人健康情况排查表</w:t>
      </w:r>
    </w:p>
    <w:p>
      <w:pPr>
        <w:spacing w:line="320" w:lineRule="exact"/>
      </w:pPr>
    </w:p>
    <w:p>
      <w:pPr>
        <w:spacing w:line="320" w:lineRule="exact"/>
        <w:ind w:firstLine="444"/>
        <w:rPr>
          <w:rFonts w:ascii="黑体" w:hAnsi="黑体" w:eastAsia="黑体" w:cs="黑体"/>
          <w:sz w:val="24"/>
          <w:szCs w:val="24"/>
        </w:rPr>
      </w:pPr>
      <w:r>
        <w:rPr>
          <w:rFonts w:ascii="黑体" w:hAnsi="黑体" w:eastAsia="黑体" w:cs="黑体"/>
          <w:spacing w:val="-10"/>
          <w:w w:val="97"/>
          <w:sz w:val="24"/>
          <w:szCs w:val="24"/>
        </w:rPr>
        <w:t>姓</w:t>
      </w:r>
      <w:r>
        <w:rPr>
          <w:rFonts w:ascii="黑体" w:hAnsi="黑体" w:eastAsia="黑体" w:cs="黑体"/>
          <w:spacing w:val="-25"/>
          <w:sz w:val="24"/>
          <w:szCs w:val="24"/>
        </w:rPr>
        <w:t xml:space="preserve"> </w:t>
      </w:r>
      <w:r>
        <w:rPr>
          <w:rFonts w:ascii="黑体" w:hAnsi="黑体" w:eastAsia="黑体" w:cs="黑体"/>
          <w:spacing w:val="-10"/>
          <w:w w:val="97"/>
          <w:sz w:val="24"/>
          <w:szCs w:val="24"/>
        </w:rPr>
        <w:t>名</w:t>
      </w:r>
      <w:r>
        <w:rPr>
          <w:rFonts w:ascii="黑体" w:hAnsi="黑体" w:eastAsia="黑体" w:cs="黑体"/>
          <w:spacing w:val="6"/>
          <w:sz w:val="24"/>
          <w:szCs w:val="24"/>
        </w:rPr>
        <w:t xml:space="preserve"> </w:t>
      </w:r>
      <w:r>
        <w:rPr>
          <w:rFonts w:ascii="黑体" w:hAnsi="黑体" w:eastAsia="黑体" w:cs="黑体"/>
          <w:spacing w:val="-10"/>
          <w:w w:val="97"/>
          <w:sz w:val="24"/>
          <w:szCs w:val="24"/>
          <w:u w:val="single"/>
        </w:rPr>
        <w:t>:</w:t>
      </w:r>
      <w:r>
        <w:rPr>
          <w:rFonts w:ascii="黑体" w:hAnsi="黑体" w:eastAsia="黑体" w:cs="黑体"/>
          <w:spacing w:val="6"/>
          <w:sz w:val="24"/>
          <w:szCs w:val="24"/>
          <w:u w:val="single"/>
        </w:rPr>
        <w:t xml:space="preserve">             </w:t>
      </w:r>
      <w:r>
        <w:rPr>
          <w:rFonts w:ascii="黑体" w:hAnsi="黑体" w:eastAsia="黑体" w:cs="黑体"/>
          <w:spacing w:val="-10"/>
          <w:w w:val="97"/>
          <w:sz w:val="24"/>
          <w:szCs w:val="24"/>
        </w:rPr>
        <w:t>考</w:t>
      </w:r>
      <w:r>
        <w:rPr>
          <w:rFonts w:ascii="黑体" w:hAnsi="黑体" w:eastAsia="黑体" w:cs="黑体"/>
          <w:spacing w:val="-57"/>
          <w:sz w:val="24"/>
          <w:szCs w:val="24"/>
        </w:rPr>
        <w:t xml:space="preserve"> </w:t>
      </w:r>
      <w:r>
        <w:rPr>
          <w:rFonts w:ascii="黑体" w:hAnsi="黑体" w:eastAsia="黑体" w:cs="黑体"/>
          <w:spacing w:val="-10"/>
          <w:w w:val="97"/>
          <w:sz w:val="24"/>
          <w:szCs w:val="24"/>
        </w:rPr>
        <w:t>生号</w:t>
      </w:r>
      <w:r>
        <w:rPr>
          <w:rFonts w:ascii="黑体" w:hAnsi="黑体" w:eastAsia="黑体" w:cs="黑体"/>
          <w:spacing w:val="-25"/>
          <w:sz w:val="24"/>
          <w:szCs w:val="24"/>
        </w:rPr>
        <w:t xml:space="preserve"> </w:t>
      </w:r>
      <w:r>
        <w:rPr>
          <w:rFonts w:ascii="黑体" w:hAnsi="黑体" w:eastAsia="黑体" w:cs="黑体"/>
          <w:spacing w:val="-10"/>
          <w:w w:val="97"/>
          <w:sz w:val="24"/>
          <w:szCs w:val="24"/>
          <w:u w:val="single"/>
        </w:rPr>
        <w:t>:</w:t>
      </w:r>
      <w:r>
        <w:rPr>
          <w:rFonts w:ascii="黑体" w:hAnsi="黑体" w:eastAsia="黑体" w:cs="黑体"/>
          <w:spacing w:val="5"/>
          <w:sz w:val="24"/>
          <w:szCs w:val="24"/>
          <w:u w:val="single"/>
        </w:rPr>
        <w:t xml:space="preserve">                  </w:t>
      </w:r>
      <w:r>
        <w:rPr>
          <w:rFonts w:ascii="黑体" w:hAnsi="黑体" w:eastAsia="黑体" w:cs="黑体"/>
          <w:spacing w:val="-10"/>
          <w:w w:val="97"/>
          <w:sz w:val="24"/>
          <w:szCs w:val="24"/>
        </w:rPr>
        <w:t>电</w:t>
      </w:r>
      <w:r>
        <w:rPr>
          <w:rFonts w:ascii="黑体" w:hAnsi="黑体" w:eastAsia="黑体" w:cs="黑体"/>
          <w:spacing w:val="-42"/>
          <w:sz w:val="24"/>
          <w:szCs w:val="24"/>
        </w:rPr>
        <w:t xml:space="preserve"> </w:t>
      </w:r>
      <w:r>
        <w:rPr>
          <w:rFonts w:ascii="黑体" w:hAnsi="黑体" w:eastAsia="黑体" w:cs="黑体"/>
          <w:spacing w:val="-10"/>
          <w:w w:val="97"/>
          <w:sz w:val="24"/>
          <w:szCs w:val="24"/>
        </w:rPr>
        <w:t>话</w:t>
      </w:r>
      <w:r>
        <w:rPr>
          <w:rFonts w:ascii="黑体" w:hAnsi="黑体" w:eastAsia="黑体" w:cs="黑体"/>
          <w:spacing w:val="-12"/>
          <w:sz w:val="24"/>
          <w:szCs w:val="24"/>
        </w:rPr>
        <w:t xml:space="preserve"> </w:t>
      </w:r>
      <w:r>
        <w:rPr>
          <w:rFonts w:ascii="黑体" w:hAnsi="黑体" w:eastAsia="黑体" w:cs="黑体"/>
          <w:spacing w:val="-10"/>
          <w:w w:val="97"/>
          <w:sz w:val="24"/>
          <w:szCs w:val="24"/>
          <w:u w:val="single"/>
        </w:rPr>
        <w:t>:</w:t>
      </w:r>
      <w:r>
        <w:rPr>
          <w:rFonts w:ascii="黑体" w:hAnsi="黑体" w:eastAsia="黑体" w:cs="黑体"/>
          <w:sz w:val="24"/>
          <w:szCs w:val="24"/>
          <w:u w:val="single"/>
        </w:rPr>
        <w:t xml:space="preserve">               </w:t>
      </w:r>
    </w:p>
    <w:p>
      <w:pPr>
        <w:spacing w:line="320" w:lineRule="exact"/>
        <w:ind w:left="442" w:right="403"/>
        <w:rPr>
          <w:rFonts w:ascii="黑体" w:hAnsi="黑体" w:eastAsia="黑体" w:cs="黑体"/>
          <w:sz w:val="27"/>
          <w:szCs w:val="27"/>
        </w:rPr>
      </w:pPr>
      <w:r>
        <w:rPr>
          <w:rFonts w:ascii="黑体" w:hAnsi="黑体" w:eastAsia="黑体" w:cs="黑体"/>
          <w:spacing w:val="-5"/>
          <w:sz w:val="24"/>
          <w:szCs w:val="24"/>
        </w:rPr>
        <w:t>身份证号:</w:t>
      </w:r>
      <w:r>
        <w:rPr>
          <w:rFonts w:ascii="黑体" w:hAnsi="黑体" w:eastAsia="黑体" w:cs="黑体"/>
          <w:spacing w:val="1"/>
          <w:sz w:val="24"/>
          <w:szCs w:val="24"/>
          <w:u w:val="single"/>
        </w:rPr>
        <w:t xml:space="preserve">                 </w:t>
      </w:r>
      <w:r>
        <w:rPr>
          <w:rFonts w:ascii="黑体" w:hAnsi="黑体" w:eastAsia="黑体" w:cs="黑体"/>
          <w:spacing w:val="-5"/>
          <w:sz w:val="24"/>
          <w:szCs w:val="24"/>
        </w:rPr>
        <w:t>体温</w:t>
      </w:r>
      <w:r>
        <w:rPr>
          <w:rFonts w:ascii="黑体" w:hAnsi="黑体" w:eastAsia="黑体" w:cs="黑体"/>
          <w:spacing w:val="-37"/>
          <w:sz w:val="24"/>
          <w:szCs w:val="24"/>
        </w:rPr>
        <w:t xml:space="preserve"> </w:t>
      </w:r>
      <w:r>
        <w:rPr>
          <w:rFonts w:ascii="黑体" w:hAnsi="黑体" w:eastAsia="黑体" w:cs="黑体"/>
          <w:spacing w:val="-5"/>
          <w:sz w:val="24"/>
          <w:szCs w:val="24"/>
          <w:u w:val="single"/>
        </w:rPr>
        <w:t>:</w:t>
      </w:r>
      <w:r>
        <w:rPr>
          <w:rFonts w:ascii="黑体" w:hAnsi="黑体" w:eastAsia="黑体" w:cs="黑体"/>
          <w:spacing w:val="18"/>
          <w:sz w:val="24"/>
          <w:szCs w:val="24"/>
          <w:u w:val="single"/>
        </w:rPr>
        <w:t xml:space="preserve">      </w:t>
      </w:r>
      <w:r>
        <w:rPr>
          <w:rFonts w:ascii="黑体" w:hAnsi="黑体" w:eastAsia="黑体" w:cs="黑体"/>
          <w:spacing w:val="1"/>
          <w:sz w:val="24"/>
          <w:szCs w:val="24"/>
        </w:rPr>
        <w:t xml:space="preserve"> </w:t>
      </w:r>
      <w:r>
        <w:rPr>
          <w:rFonts w:ascii="黑体" w:hAnsi="黑体" w:eastAsia="黑体" w:cs="黑体"/>
          <w:spacing w:val="-11"/>
          <w:w w:val="87"/>
          <w:sz w:val="24"/>
          <w:szCs w:val="24"/>
        </w:rPr>
        <w:t>现居住地址(具体到门牌号):</w:t>
      </w:r>
      <w:r>
        <w:rPr>
          <w:rFonts w:ascii="黑体" w:hAnsi="黑体" w:eastAsia="黑体" w:cs="黑体"/>
          <w:spacing w:val="1"/>
          <w:sz w:val="27"/>
          <w:szCs w:val="27"/>
          <w:u w:val="single"/>
        </w:rPr>
        <w:t xml:space="preserve">           </w:t>
      </w:r>
    </w:p>
    <w:p>
      <w:pPr>
        <w:spacing w:line="90" w:lineRule="exact"/>
      </w:pPr>
    </w:p>
    <w:tbl>
      <w:tblPr>
        <w:tblStyle w:val="5"/>
        <w:tblW w:w="99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5"/>
        <w:gridCol w:w="900"/>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仿宋_GB2312" w:hAnsi="宋体" w:eastAsia="仿宋_GB2312" w:cs="仿宋"/>
              </w:rPr>
            </w:pPr>
            <w:r>
              <w:rPr>
                <w:rFonts w:hint="eastAsia" w:ascii="仿宋_GB2312" w:hAnsi="宋体" w:eastAsia="仿宋_GB2312" w:cs="黑体"/>
              </w:rPr>
              <w:t>有 关 情 况</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宋体" w:eastAsia="仿宋_GB2312" w:cs="仿宋"/>
              </w:rPr>
            </w:pPr>
            <w:r>
              <w:rPr>
                <w:rFonts w:hint="eastAsia" w:ascii="仿宋_GB2312" w:hAnsi="宋体" w:eastAsia="仿宋_GB2312" w:cs="黑体"/>
              </w:rPr>
              <w:t>本 人</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宋体" w:eastAsia="仿宋_GB2312" w:cs="仿宋"/>
              </w:rPr>
            </w:pPr>
            <w:r>
              <w:rPr>
                <w:rFonts w:hint="eastAsia" w:ascii="仿宋_GB2312" w:hAnsi="宋体" w:eastAsia="仿宋_GB2312" w:cs="黑体"/>
              </w:rPr>
              <w:t>共同居</w:t>
            </w:r>
          </w:p>
          <w:p>
            <w:pPr>
              <w:spacing w:line="240" w:lineRule="exact"/>
              <w:jc w:val="center"/>
              <w:rPr>
                <w:rFonts w:ascii="仿宋_GB2312" w:hAnsi="宋体" w:eastAsia="仿宋_GB2312" w:cs="仿宋"/>
              </w:rPr>
            </w:pPr>
            <w:r>
              <w:rPr>
                <w:rFonts w:hint="eastAsia" w:ascii="仿宋_GB2312" w:hAnsi="宋体" w:eastAsia="仿宋_GB2312" w:cs="黑体"/>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jc w:val="center"/>
        </w:trPr>
        <w:tc>
          <w:tcPr>
            <w:tcW w:w="99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宋体" w:eastAsia="仿宋_GB2312" w:cs="仿宋"/>
              </w:rPr>
            </w:pPr>
            <w:r>
              <w:rPr>
                <w:rFonts w:hint="eastAsia" w:ascii="仿宋_GB2312" w:hAnsi="宋体" w:eastAsia="仿宋_GB2312" w:cs="黑体"/>
                <w:b/>
                <w:bCs/>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6"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spacing w:line="240" w:lineRule="exact"/>
              <w:rPr>
                <w:rFonts w:ascii="仿宋_GB2312" w:hAnsi="楷体" w:eastAsia="仿宋_GB2312" w:cs="仿宋"/>
              </w:rPr>
            </w:pPr>
            <w:r>
              <w:rPr>
                <w:rFonts w:hint="eastAsia" w:ascii="Times New Roman" w:hAnsi="Times New Roman" w:eastAsia="仿宋_GB2312" w:cs="仿宋_GB2312"/>
              </w:rPr>
              <w:t>7</w:t>
            </w:r>
            <w:r>
              <w:rPr>
                <w:rFonts w:hint="eastAsia" w:ascii="仿宋_GB2312" w:hAnsi="楷体" w:eastAsia="仿宋_GB2312" w:cs="仿宋_GB2312"/>
              </w:rPr>
              <w:t>天内有中、高风险区旅居史</w:t>
            </w:r>
          </w:p>
          <w:p>
            <w:pPr>
              <w:spacing w:line="240" w:lineRule="exact"/>
              <w:ind w:firstLine="210" w:firstLineChars="100"/>
              <w:rPr>
                <w:rFonts w:ascii="仿宋_GB2312" w:hAnsi="楷体" w:eastAsia="仿宋_GB2312" w:cs="仿宋"/>
              </w:rPr>
            </w:pPr>
            <w:r>
              <w:rPr>
                <w:rFonts w:hint="eastAsia" w:ascii="仿宋_GB2312" w:hAnsi="楷体" w:eastAsia="仿宋_GB2312" w:cs="仿宋_GB2312"/>
              </w:rPr>
              <w:t>具体地区名单：</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6"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spacing w:line="240" w:lineRule="exact"/>
              <w:rPr>
                <w:rFonts w:ascii="仿宋_GB2312" w:hAnsi="楷体" w:eastAsia="仿宋_GB2312" w:cs="仿宋_GB2312"/>
              </w:rPr>
            </w:pPr>
            <w:r>
              <w:rPr>
                <w:rFonts w:hint="eastAsia" w:ascii="仿宋_GB2312" w:hAnsi="楷体" w:eastAsia="仿宋_GB2312" w:cs="仿宋_GB2312"/>
              </w:rPr>
              <w:t>7天内有低风险区（中高风险区所在县市区的其他地区）旅居史</w:t>
            </w:r>
          </w:p>
          <w:p>
            <w:pPr>
              <w:spacing w:line="240" w:lineRule="exact"/>
              <w:ind w:firstLine="210" w:firstLineChars="100"/>
              <w:rPr>
                <w:rFonts w:ascii="仿宋_GB2312" w:hAnsi="楷体" w:eastAsia="仿宋_GB2312" w:cs="仿宋_GB2312"/>
              </w:rPr>
            </w:pPr>
            <w:r>
              <w:rPr>
                <w:rFonts w:hint="eastAsia" w:ascii="仿宋_GB2312" w:hAnsi="楷体" w:eastAsia="仿宋_GB2312" w:cs="仿宋_GB2312"/>
              </w:rPr>
              <w:t>具体地区名单：</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rPr>
              <w:t>3</w:t>
            </w:r>
            <w:r>
              <w:rPr>
                <w:rFonts w:hint="eastAsia" w:ascii="仿宋_GB2312" w:hAnsi="楷体" w:eastAsia="仿宋_GB2312" w:cs="仿宋_GB2312"/>
              </w:rPr>
              <w:t xml:space="preserve">. </w:t>
            </w:r>
            <w:r>
              <w:rPr>
                <w:rFonts w:hint="eastAsia" w:ascii="Times New Roman" w:hAnsi="Times New Roman" w:eastAsia="仿宋_GB2312" w:cs="仿宋_GB2312"/>
              </w:rPr>
              <w:t>10</w:t>
            </w:r>
            <w:r>
              <w:rPr>
                <w:rFonts w:hint="eastAsia" w:ascii="仿宋_GB2312" w:hAnsi="楷体" w:eastAsia="仿宋_GB2312" w:cs="仿宋_GB2312"/>
              </w:rPr>
              <w:t>天内本人有境外、港台地区旅居史</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rPr>
              <w:t>4</w:t>
            </w:r>
            <w:r>
              <w:rPr>
                <w:rFonts w:hint="eastAsia" w:ascii="仿宋_GB2312" w:hAnsi="楷体" w:eastAsia="仿宋_GB2312" w:cs="仿宋_GB2312"/>
              </w:rPr>
              <w:t xml:space="preserve">. </w:t>
            </w:r>
            <w:r>
              <w:rPr>
                <w:rFonts w:hint="eastAsia" w:ascii="Times New Roman" w:hAnsi="Times New Roman" w:eastAsia="仿宋_GB2312" w:cs="仿宋_GB2312"/>
              </w:rPr>
              <w:t>7</w:t>
            </w:r>
            <w:r>
              <w:rPr>
                <w:rFonts w:hint="eastAsia" w:ascii="仿宋_GB2312" w:hAnsi="楷体" w:eastAsia="仿宋_GB2312" w:cs="仿宋_GB2312"/>
              </w:rPr>
              <w:t>天内曾接触过来自中、高风险地区的有发热或呼吸道症状的患者</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rPr>
              <w:t>5</w:t>
            </w:r>
            <w:r>
              <w:rPr>
                <w:rFonts w:hint="eastAsia" w:ascii="仿宋_GB2312" w:hAnsi="楷体" w:eastAsia="仿宋_GB2312" w:cs="仿宋_GB2312"/>
              </w:rPr>
              <w:t>.7天内曾接触过新冠病毒感染者或其密切接触者</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_GB2312"/>
                <w:spacing w:val="-8"/>
              </w:rPr>
            </w:pPr>
            <w:r>
              <w:rPr>
                <w:rFonts w:hint="eastAsia" w:ascii="Times New Roman" w:hAnsi="Times New Roman" w:eastAsia="仿宋_GB2312" w:cs="仿宋_GB2312"/>
                <w:spacing w:val="-8"/>
              </w:rPr>
              <w:t>6</w:t>
            </w:r>
            <w:r>
              <w:rPr>
                <w:rFonts w:hint="eastAsia" w:ascii="仿宋_GB2312" w:hAnsi="楷体" w:eastAsia="仿宋_GB2312" w:cs="仿宋_GB2312"/>
                <w:spacing w:val="-8"/>
              </w:rPr>
              <w:t>. 聚集性发病患者（</w:t>
            </w:r>
            <w:r>
              <w:rPr>
                <w:rFonts w:hint="eastAsia" w:ascii="Times New Roman" w:hAnsi="Times New Roman" w:eastAsia="仿宋_GB2312" w:cs="仿宋_GB2312"/>
                <w:spacing w:val="-8"/>
              </w:rPr>
              <w:t>7</w:t>
            </w:r>
            <w:r>
              <w:rPr>
                <w:rFonts w:hint="eastAsia" w:ascii="仿宋_GB2312" w:hAnsi="楷体" w:eastAsia="仿宋_GB2312" w:cs="仿宋_GB2312"/>
                <w:spacing w:val="-8"/>
              </w:rPr>
              <w:t>天内在小范围如家庭、办公室、学校班级等场所，出现</w:t>
            </w:r>
            <w:r>
              <w:rPr>
                <w:rFonts w:hint="eastAsia" w:ascii="Times New Roman" w:hAnsi="Times New Roman" w:eastAsia="仿宋_GB2312" w:cs="仿宋_GB2312"/>
              </w:rPr>
              <w:t>2</w:t>
            </w:r>
            <w:r>
              <w:rPr>
                <w:rFonts w:hint="eastAsia" w:ascii="仿宋_GB2312" w:hAnsi="楷体" w:eastAsia="仿宋_GB2312" w:cs="仿宋_GB2312"/>
                <w:spacing w:val="-9"/>
              </w:rPr>
              <w:t>例及以上发热或呼吸道</w:t>
            </w:r>
            <w:r>
              <w:rPr>
                <w:rFonts w:hint="eastAsia" w:ascii="仿宋_GB2312" w:hAnsi="楷体" w:eastAsia="仿宋_GB2312" w:cs="仿宋_GB2312"/>
                <w:spacing w:val="-10"/>
              </w:rPr>
              <w:t>症状的患者</w:t>
            </w:r>
            <w:r>
              <w:rPr>
                <w:rFonts w:hint="eastAsia" w:ascii="仿宋_GB2312" w:hAnsi="楷体" w:eastAsia="仿宋_GB2312" w:cs="仿宋_GB2312"/>
                <w:spacing w:val="-8"/>
              </w:rPr>
              <w:t>）</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997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仿宋_GB2312" w:hAnsi="宋体" w:eastAsia="仿宋_GB2312" w:cs="仿宋"/>
              </w:rPr>
            </w:pPr>
            <w:r>
              <w:rPr>
                <w:rFonts w:hint="eastAsia" w:ascii="仿宋_GB2312" w:hAnsi="宋体" w:eastAsia="仿宋_GB2312" w:cs="黑体"/>
                <w:b/>
                <w:spacing w:val="-8"/>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jc w:val="center"/>
        </w:trPr>
        <w:tc>
          <w:tcPr>
            <w:tcW w:w="8155" w:type="dxa"/>
            <w:tcBorders>
              <w:top w:val="single" w:color="000000" w:sz="4" w:space="0"/>
              <w:left w:val="single" w:color="000000" w:sz="4" w:space="0"/>
              <w:bottom w:val="single" w:color="auto" w:sz="4" w:space="0"/>
              <w:right w:val="single" w:color="000000" w:sz="4" w:space="0"/>
            </w:tcBorders>
            <w:noWrap w:val="0"/>
            <w:vAlign w:val="center"/>
          </w:tcPr>
          <w:p>
            <w:pPr>
              <w:spacing w:line="240" w:lineRule="exact"/>
              <w:rPr>
                <w:rFonts w:ascii="仿宋_GB2312" w:hAnsi="楷体" w:eastAsia="仿宋_GB2312" w:cs="仿宋"/>
                <w:spacing w:val="-8"/>
              </w:rPr>
            </w:pPr>
            <w:r>
              <w:rPr>
                <w:rFonts w:hint="eastAsia" w:ascii="Times New Roman" w:hAnsi="Times New Roman" w:eastAsia="仿宋_GB2312" w:cs="仿宋_GB2312"/>
              </w:rPr>
              <w:t>1</w:t>
            </w:r>
            <w:r>
              <w:rPr>
                <w:rFonts w:hint="eastAsia" w:ascii="仿宋_GB2312" w:hAnsi="楷体" w:eastAsia="仿宋_GB2312" w:cs="仿宋_GB2312"/>
              </w:rPr>
              <w:t>. 流行病史中所述任一情况人员的共同居住者</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jc w:val="center"/>
        </w:trPr>
        <w:tc>
          <w:tcPr>
            <w:tcW w:w="8155" w:type="dxa"/>
            <w:tcBorders>
              <w:top w:val="single" w:color="auto"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rPr>
            </w:pPr>
            <w:r>
              <w:rPr>
                <w:rFonts w:hint="eastAsia" w:ascii="Times New Roman" w:hAnsi="Times New Roman" w:eastAsia="仿宋_GB2312" w:cs="仿宋_GB2312"/>
                <w:spacing w:val="-3"/>
              </w:rPr>
              <w:t>2</w:t>
            </w:r>
            <w:r>
              <w:rPr>
                <w:rFonts w:hint="eastAsia" w:ascii="仿宋_GB2312" w:hAnsi="楷体" w:eastAsia="仿宋_GB2312" w:cs="仿宋_GB2312"/>
                <w:spacing w:val="-3"/>
              </w:rPr>
              <w:t>. 本人或共同居住者从事可能接触新冠病毒或新冠病毒感染者相关工作的较高风险人群，主要包括：</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rPr>
            </w:pPr>
            <w:r>
              <w:rPr>
                <w:rFonts w:hint="eastAsia" w:ascii="仿宋_GB2312" w:hAnsi="楷体" w:eastAsia="仿宋_GB2312" w:cs="仿宋_GB2312"/>
                <w:spacing w:val="-8"/>
              </w:rPr>
              <w:t>①</w:t>
            </w:r>
            <w:r>
              <w:rPr>
                <w:rFonts w:hint="eastAsia" w:ascii="仿宋_GB2312" w:hAnsi="楷体" w:eastAsia="仿宋_GB2312" w:cs="仿宋_GB2312"/>
                <w:spacing w:val="-3"/>
              </w:rPr>
              <w:t>进口冷链、海鲜、肉类等食品监管和从业人员等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spacing w:val="-3"/>
              </w:rPr>
            </w:pPr>
            <w:r>
              <w:rPr>
                <w:rFonts w:hint="eastAsia" w:ascii="仿宋_GB2312" w:hAnsi="楷体" w:eastAsia="仿宋_GB2312" w:cs="仿宋_GB2312"/>
              </w:rPr>
              <w:t>②</w:t>
            </w:r>
            <w:r>
              <w:rPr>
                <w:rFonts w:hint="eastAsia" w:ascii="仿宋_GB2312" w:hAnsi="楷体" w:eastAsia="仿宋_GB2312" w:cs="仿宋_GB2312"/>
                <w:spacing w:val="-3"/>
              </w:rPr>
              <w:t>集中医学观察场所从业人员等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rPr>
                <w:rFonts w:ascii="仿宋_GB2312" w:hAnsi="楷体" w:eastAsia="仿宋_GB2312" w:cs="仿宋"/>
                <w:spacing w:val="-6"/>
              </w:rPr>
            </w:pPr>
            <w:r>
              <w:rPr>
                <w:rFonts w:hint="eastAsia" w:ascii="仿宋_GB2312" w:hAnsi="楷体" w:eastAsia="仿宋_GB2312" w:cs="仿宋_GB2312"/>
                <w:spacing w:val="-6"/>
              </w:rPr>
              <w:t>③新冠肺炎医疗救治定点医院、医疗机构发热门诊和急诊等相关各类人员等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auto" w:sz="4" w:space="0"/>
              <w:right w:val="single" w:color="auto" w:sz="4" w:space="0"/>
            </w:tcBorders>
            <w:noWrap w:val="0"/>
            <w:vAlign w:val="center"/>
          </w:tcPr>
          <w:p>
            <w:pPr>
              <w:spacing w:line="240" w:lineRule="exact"/>
              <w:rPr>
                <w:rFonts w:ascii="仿宋_GB2312" w:hAnsi="楷体" w:eastAsia="仿宋_GB2312" w:cs="仿宋"/>
                <w:spacing w:val="-3"/>
              </w:rPr>
            </w:pPr>
            <w:r>
              <w:rPr>
                <w:rFonts w:hint="eastAsia" w:ascii="仿宋_GB2312" w:hAnsi="楷体" w:eastAsia="仿宋_GB2312" w:cs="仿宋_GB2312"/>
              </w:rPr>
              <w:t>④</w:t>
            </w:r>
            <w:r>
              <w:rPr>
                <w:rFonts w:hint="eastAsia" w:ascii="仿宋_GB2312" w:hAnsi="楷体" w:eastAsia="仿宋_GB2312" w:cs="仿宋_GB2312"/>
                <w:spacing w:val="-3"/>
              </w:rPr>
              <w:t>边境、港口、码头、口岸、进口货物直接接触人员，民航等国际交通运输工具从业人员、船舶引航员等登临外籍船舶相关从业人员，移民、海关以及交通运输等相关工作人员等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3" w:hRule="atLeast"/>
          <w:jc w:val="center"/>
        </w:trPr>
        <w:tc>
          <w:tcPr>
            <w:tcW w:w="8155" w:type="dxa"/>
            <w:tcBorders>
              <w:top w:val="single" w:color="auto"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
                <w:spacing w:val="-3"/>
              </w:rPr>
            </w:pPr>
            <w:r>
              <w:rPr>
                <w:rFonts w:hint="eastAsia" w:ascii="Times New Roman" w:hAnsi="Times New Roman" w:eastAsia="仿宋_GB2312" w:cs="仿宋_GB2312"/>
                <w:spacing w:val="-3"/>
              </w:rPr>
              <w:t>3</w:t>
            </w:r>
            <w:r>
              <w:rPr>
                <w:rFonts w:hint="eastAsia" w:ascii="仿宋_GB2312" w:hAnsi="楷体" w:eastAsia="仿宋_GB2312" w:cs="仿宋_GB2312"/>
                <w:spacing w:val="-3"/>
              </w:rPr>
              <w:t>. 纳入社区管理处于健康监测期的来自中高风险地区人员、解除医学观察人员、入境人员等</w:t>
            </w:r>
          </w:p>
        </w:tc>
        <w:tc>
          <w:tcPr>
            <w:tcW w:w="90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c>
          <w:tcPr>
            <w:tcW w:w="920" w:type="dxa"/>
            <w:tcBorders>
              <w:top w:val="single" w:color="000000" w:sz="4" w:space="0"/>
              <w:left w:val="nil"/>
              <w:bottom w:val="single" w:color="000000" w:sz="4" w:space="0"/>
              <w:right w:val="single" w:color="000000" w:sz="4" w:space="0"/>
            </w:tcBorders>
            <w:noWrap w:val="0"/>
            <w:vAlign w:val="center"/>
          </w:tcPr>
          <w:p>
            <w:pPr>
              <w:spacing w:line="240" w:lineRule="exact"/>
              <w:jc w:val="center"/>
              <w:rPr>
                <w:rFonts w:ascii="仿宋_GB2312" w:hAnsi="楷体" w:eastAsia="仿宋_GB2312" w:cs="黑体"/>
              </w:rPr>
            </w:pPr>
            <w:r>
              <w:rPr>
                <w:rFonts w:hint="eastAsia" w:ascii="仿宋_GB2312" w:hAnsi="楷体" w:eastAsia="仿宋_GB2312" w:cs="仿宋_GB231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5" w:hRule="atLeast"/>
          <w:jc w:val="center"/>
        </w:trPr>
        <w:tc>
          <w:tcPr>
            <w:tcW w:w="8155" w:type="dxa"/>
            <w:tcBorders>
              <w:top w:val="single" w:color="000000" w:sz="4" w:space="0"/>
              <w:left w:val="single" w:color="000000" w:sz="4" w:space="0"/>
              <w:bottom w:val="single" w:color="auto" w:sz="4" w:space="0"/>
              <w:right w:val="single" w:color="auto" w:sz="4" w:space="0"/>
            </w:tcBorders>
            <w:noWrap w:val="0"/>
            <w:vAlign w:val="center"/>
          </w:tcPr>
          <w:p>
            <w:pPr>
              <w:spacing w:line="240" w:lineRule="exact"/>
              <w:rPr>
                <w:rFonts w:ascii="仿宋_GB2312" w:hAnsi="宋体" w:eastAsia="仿宋_GB2312" w:cs="仿宋"/>
                <w:bCs/>
                <w:color w:val="000000"/>
                <w:spacing w:val="-8"/>
              </w:rPr>
            </w:pPr>
            <w:r>
              <w:rPr>
                <w:rFonts w:hint="eastAsia" w:ascii="宋体" w:hAnsi="宋体" w:eastAsia="宋体" w:cs="宋体"/>
                <w:b/>
                <w:bCs/>
                <w:color w:val="000000"/>
                <w:spacing w:val="-1"/>
                <w:sz w:val="20"/>
                <w:szCs w:val="20"/>
              </w:rPr>
              <w:t>三、</w:t>
            </w:r>
            <w:r>
              <w:rPr>
                <w:rFonts w:hint="eastAsia" w:ascii="宋体" w:hAnsi="宋体" w:eastAsia="宋体" w:cs="宋体"/>
                <w:b/>
                <w:bCs/>
                <w:color w:val="000000"/>
                <w:sz w:val="20"/>
                <w:szCs w:val="20"/>
              </w:rPr>
              <w:t>确诊病例和无症状感染密切接触者、密切接触者的密切接触者、其他因疫情防控需要被采取集中隔离或居家隔离或居家健康监测人员、尚在随访或医学观察期的已治愈出院的确诊病例和无症状感染人员。</w:t>
            </w:r>
          </w:p>
        </w:tc>
        <w:tc>
          <w:tcPr>
            <w:tcW w:w="900" w:type="dxa"/>
            <w:tcBorders>
              <w:top w:val="single" w:color="000000"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c>
          <w:tcPr>
            <w:tcW w:w="920" w:type="dxa"/>
            <w:tcBorders>
              <w:top w:val="single" w:color="000000" w:sz="4" w:space="0"/>
              <w:left w:val="single" w:color="auto" w:sz="4" w:space="0"/>
              <w:bottom w:val="single" w:color="auto" w:sz="4" w:space="0"/>
              <w:right w:val="single" w:color="000000"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jc w:val="center"/>
        </w:trPr>
        <w:tc>
          <w:tcPr>
            <w:tcW w:w="9975" w:type="dxa"/>
            <w:gridSpan w:val="3"/>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仿宋_GB2312" w:hAnsi="宋体" w:eastAsia="仿宋_GB2312" w:cs="黑体"/>
                <w:color w:val="000000"/>
              </w:rPr>
            </w:pPr>
            <w:r>
              <w:rPr>
                <w:rFonts w:hint="eastAsia" w:ascii="仿宋_GB2312" w:hAnsi="宋体" w:eastAsia="仿宋_GB2312" w:cs="黑体"/>
                <w:b/>
                <w:bCs/>
                <w:color w:val="000000"/>
              </w:rPr>
              <w:t>四、新冠肺炎相关症状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9975" w:type="dxa"/>
            <w:gridSpan w:val="3"/>
            <w:tcBorders>
              <w:top w:val="single" w:color="auto" w:sz="4" w:space="0"/>
              <w:left w:val="single" w:color="000000" w:sz="4" w:space="0"/>
              <w:bottom w:val="single" w:color="000000" w:sz="4" w:space="0"/>
              <w:right w:val="single" w:color="000000" w:sz="4" w:space="0"/>
            </w:tcBorders>
            <w:noWrap w:val="0"/>
            <w:vAlign w:val="center"/>
          </w:tcPr>
          <w:p>
            <w:pPr>
              <w:spacing w:line="240" w:lineRule="exact"/>
              <w:rPr>
                <w:rFonts w:ascii="仿宋_GB2312" w:hAnsi="楷体" w:eastAsia="仿宋_GB2312" w:cs="仿宋_GB2312"/>
                <w:color w:val="000000"/>
                <w:spacing w:val="-3"/>
              </w:rPr>
            </w:pPr>
            <w:r>
              <w:rPr>
                <w:rFonts w:hint="eastAsia" w:ascii="仿宋" w:hAnsi="仿宋" w:eastAsia="仿宋" w:cs="仿宋"/>
                <w:b/>
                <w:bCs/>
                <w:color w:val="000000"/>
                <w:sz w:val="18"/>
                <w:szCs w:val="18"/>
              </w:rPr>
              <w:t>1.</w:t>
            </w:r>
            <w:r>
              <w:rPr>
                <w:rFonts w:hint="eastAsia" w:ascii="仿宋_GB2312" w:hAnsi="楷体" w:eastAsia="仿宋_GB2312" w:cs="仿宋_GB2312"/>
                <w:color w:val="000000"/>
                <w:spacing w:val="-3"/>
              </w:rPr>
              <w:t>目前有，或者7天内有：</w:t>
            </w:r>
          </w:p>
          <w:p>
            <w:pPr>
              <w:spacing w:line="240" w:lineRule="exact"/>
              <w:rPr>
                <w:rFonts w:ascii="仿宋_GB2312" w:hAnsi="楷体" w:eastAsia="仿宋_GB2312" w:cs="仿宋_GB2312"/>
                <w:color w:val="000000"/>
                <w:spacing w:val="-3"/>
              </w:rPr>
            </w:pPr>
            <w:r>
              <w:rPr>
                <w:rFonts w:hint="eastAsia" w:ascii="仿宋_GB2312" w:hAnsi="楷体" w:eastAsia="仿宋_GB2312" w:cs="仿宋_GB2312"/>
                <w:color w:val="000000"/>
                <w:spacing w:val="-3"/>
              </w:rPr>
              <w:t>发热□是□否 干咳□是□否 乏力□是□否 鼻塞□是□否 流涕□是□否 咽痛□是□否</w:t>
            </w:r>
          </w:p>
          <w:p>
            <w:pPr>
              <w:spacing w:line="240" w:lineRule="exact"/>
              <w:rPr>
                <w:rFonts w:ascii="仿宋_GB2312" w:hAnsi="楷体" w:eastAsia="仿宋_GB2312" w:cs="仿宋_GB2312"/>
                <w:color w:val="000000"/>
                <w:spacing w:val="-3"/>
              </w:rPr>
            </w:pPr>
            <w:r>
              <w:rPr>
                <w:rFonts w:hint="eastAsia" w:ascii="仿宋_GB2312" w:hAnsi="楷体" w:eastAsia="仿宋_GB2312" w:cs="仿宋_GB2312"/>
                <w:color w:val="000000"/>
                <w:spacing w:val="-3"/>
              </w:rPr>
              <w:t>肌痛□是□否 结膜炎□是□否 腹泻□是□否 嗅（味）觉减退（丧失）□是□否</w:t>
            </w:r>
          </w:p>
          <w:p>
            <w:pPr>
              <w:spacing w:line="240" w:lineRule="exact"/>
              <w:rPr>
                <w:rFonts w:eastAsia="仿宋_GB2312"/>
                <w:color w:val="000000"/>
              </w:rPr>
            </w:pPr>
            <w:r>
              <w:rPr>
                <w:rFonts w:hint="eastAsia" w:ascii="仿宋_GB2312" w:hAnsi="楷体" w:eastAsia="仿宋_GB2312" w:cs="仿宋_GB2312"/>
                <w:color w:val="000000"/>
                <w:spacing w:val="-3"/>
              </w:rPr>
              <w:t>2.考前48小时核酸检测阴性报告；考前7天内有低风险区旅居史(按《新型冠状病毒肺炎防控方案（第九版）要求》，中高风险区所在（县、市、区）的其他地区为低风险）的考生3天内两次核酸检测（间隔时间需超过24小时）阴性报告。遵守属地核</w:t>
            </w:r>
            <w:r>
              <w:rPr>
                <w:rFonts w:hint="eastAsia" w:ascii="仿宋_GB2312" w:hAnsi="楷体" w:eastAsia="仿宋_GB2312" w:cs="仿宋_GB2312"/>
                <w:color w:val="000000"/>
                <w:spacing w:val="-3"/>
                <w:lang w:eastAsia="zh-CN"/>
              </w:rPr>
              <w:t>酸</w:t>
            </w:r>
            <w:r>
              <w:rPr>
                <w:rFonts w:hint="eastAsia" w:ascii="仿宋_GB2312" w:hAnsi="楷体" w:eastAsia="仿宋_GB2312" w:cs="仿宋_GB2312"/>
                <w:color w:val="000000"/>
                <w:spacing w:val="-3"/>
              </w:rPr>
              <w:t>检测要求。                            □是□否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jc w:val="center"/>
        </w:trPr>
        <w:tc>
          <w:tcPr>
            <w:tcW w:w="8155"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rPr>
                <w:rFonts w:ascii="仿宋_GB2312" w:hAnsi="楷体" w:eastAsia="仿宋_GB2312" w:cs="仿宋"/>
                <w:color w:val="000000"/>
              </w:rPr>
            </w:pPr>
            <w:r>
              <w:rPr>
                <w:rFonts w:hint="eastAsia" w:ascii="仿宋_GB2312" w:hAnsi="宋体" w:eastAsia="仿宋_GB2312" w:cs="仿宋"/>
                <w:b/>
                <w:color w:val="000000"/>
                <w:spacing w:val="-8"/>
              </w:rPr>
              <w:t>五、确诊病例、无症状感染者、疑似病例</w:t>
            </w:r>
          </w:p>
        </w:tc>
        <w:tc>
          <w:tcPr>
            <w:tcW w:w="900"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c>
          <w:tcPr>
            <w:tcW w:w="920"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jc w:val="center"/>
              <w:rPr>
                <w:rFonts w:ascii="仿宋_GB2312" w:hAnsi="楷体" w:eastAsia="仿宋_GB2312" w:cs="黑体"/>
                <w:color w:val="000000"/>
              </w:rPr>
            </w:pPr>
            <w:r>
              <w:rPr>
                <w:rFonts w:hint="eastAsia" w:ascii="仿宋_GB2312" w:hAnsi="楷体" w:eastAsia="仿宋_GB2312" w:cs="仿宋_GB2312"/>
                <w:color w:val="000000"/>
              </w:rPr>
              <w:t>□是□否</w:t>
            </w:r>
          </w:p>
        </w:tc>
      </w:tr>
    </w:tbl>
    <w:p>
      <w:pPr>
        <w:spacing w:before="167" w:line="276" w:lineRule="auto"/>
        <w:ind w:left="444" w:right="507" w:firstLine="440"/>
        <w:rPr>
          <w:rFonts w:ascii="楷体" w:hAnsi="楷体" w:eastAsia="楷体" w:cs="楷体"/>
          <w:spacing w:val="-5"/>
          <w:sz w:val="24"/>
          <w:szCs w:val="24"/>
        </w:rPr>
      </w:pPr>
      <w:r>
        <w:rPr>
          <w:rFonts w:ascii="楷体" w:hAnsi="楷体" w:eastAsia="楷体" w:cs="楷体"/>
          <w:spacing w:val="-9"/>
          <w:sz w:val="24"/>
          <w:szCs w:val="24"/>
        </w:rPr>
        <w:t>请确认上述情况属实。根据《传染病防治法》及疫情防控要求,不如实提供信</w:t>
      </w:r>
      <w:r>
        <w:rPr>
          <w:rFonts w:ascii="楷体" w:hAnsi="楷体" w:eastAsia="楷体" w:cs="楷体"/>
          <w:spacing w:val="33"/>
          <w:sz w:val="24"/>
          <w:szCs w:val="24"/>
        </w:rPr>
        <w:t xml:space="preserve"> </w:t>
      </w:r>
      <w:r>
        <w:rPr>
          <w:rFonts w:ascii="楷体" w:hAnsi="楷体" w:eastAsia="楷体" w:cs="楷体"/>
          <w:spacing w:val="-5"/>
          <w:sz w:val="24"/>
          <w:szCs w:val="24"/>
        </w:rPr>
        <w:t>息将承担相应法律责任</w:t>
      </w:r>
    </w:p>
    <w:p>
      <w:pPr>
        <w:ind w:firstLine="1150" w:firstLineChars="500"/>
        <w:rPr>
          <w:rFonts w:hint="default" w:ascii="宋体" w:hAnsi="宋体" w:eastAsia="楷体" w:cs="宋体"/>
          <w:spacing w:val="-11"/>
          <w:sz w:val="32"/>
          <w:szCs w:val="32"/>
          <w:lang w:val="en-US" w:eastAsia="zh-CN"/>
        </w:rPr>
        <w:sectPr>
          <w:footerReference r:id="rId3" w:type="default"/>
          <w:pgSz w:w="11910" w:h="16850"/>
          <w:pgMar w:top="1373" w:right="1294" w:bottom="1557" w:left="1185" w:header="0" w:footer="1359" w:gutter="0"/>
          <w:cols w:space="720" w:num="1"/>
        </w:sectPr>
      </w:pPr>
      <w:r>
        <w:rPr>
          <w:rFonts w:hint="eastAsia" w:ascii="楷体" w:hAnsi="楷体" w:eastAsia="楷体" w:cs="楷体"/>
          <w:spacing w:val="-5"/>
          <w:sz w:val="24"/>
          <w:szCs w:val="24"/>
        </w:rPr>
        <w:t>签名                                日期：   年</w:t>
      </w:r>
      <w:r>
        <w:rPr>
          <w:rFonts w:hint="eastAsia" w:ascii="楷体" w:hAnsi="楷体" w:eastAsia="楷体" w:cs="楷体"/>
          <w:spacing w:val="-5"/>
          <w:sz w:val="24"/>
          <w:szCs w:val="24"/>
          <w:lang w:val="en-US" w:eastAsia="zh-CN"/>
        </w:rPr>
        <w:t xml:space="preserve">   月   日</w:t>
      </w:r>
    </w:p>
    <w:p>
      <w:pPr>
        <w:tabs>
          <w:tab w:val="left" w:pos="2961"/>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S4lI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KEuJSGQIAACMEAAAOAAAA&#10;AAAAAAEAIAAAAB8BAABkcnMvZTJvRG9jLnhtbFBLBQYAAAAABgAGAFkBAACq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OTk5NDFhMTY5MWUyMWM5ZTZkMTM5ZDQ4YmVjMWEifQ=="/>
  </w:docVars>
  <w:rsids>
    <w:rsidRoot w:val="006D0579"/>
    <w:rsid w:val="00037B23"/>
    <w:rsid w:val="001D096D"/>
    <w:rsid w:val="00335866"/>
    <w:rsid w:val="004B3FE1"/>
    <w:rsid w:val="004D3196"/>
    <w:rsid w:val="006D0579"/>
    <w:rsid w:val="00920992"/>
    <w:rsid w:val="009720F1"/>
    <w:rsid w:val="009B259E"/>
    <w:rsid w:val="00BF36F3"/>
    <w:rsid w:val="00F34FA8"/>
    <w:rsid w:val="1E301A53"/>
    <w:rsid w:val="29C11947"/>
    <w:rsid w:val="2B5B75A0"/>
    <w:rsid w:val="31766148"/>
    <w:rsid w:val="36910E37"/>
    <w:rsid w:val="3C05380C"/>
    <w:rsid w:val="4B343FC3"/>
    <w:rsid w:val="5A111869"/>
    <w:rsid w:val="5D5617E2"/>
    <w:rsid w:val="6CDF0205"/>
    <w:rsid w:val="6D584D90"/>
    <w:rsid w:val="6E204CF7"/>
    <w:rsid w:val="7270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paragraph" w:styleId="4">
    <w:name w:val="footer"/>
    <w:basedOn w:val="1"/>
    <w:qFormat/>
    <w:uiPriority w:val="0"/>
    <w:pPr>
      <w:tabs>
        <w:tab w:val="center" w:pos="4153"/>
        <w:tab w:val="right" w:pos="8306"/>
      </w:tabs>
    </w:pPr>
    <w:rPr>
      <w:sz w:val="18"/>
    </w:rPr>
  </w:style>
  <w:style w:type="character" w:customStyle="1" w:styleId="7">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3624</Words>
  <Characters>3699</Characters>
  <Lines>20</Lines>
  <Paragraphs>5</Paragraphs>
  <TotalTime>2</TotalTime>
  <ScaleCrop>false</ScaleCrop>
  <LinksUpToDate>false</LinksUpToDate>
  <CharactersWithSpaces>3933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2022-07-04T07:56:00Z</dcterms:created>
  <dc:creator>Administrator</dc:creator>
  <cp:lastModifiedBy>Administrator</cp:lastModifiedBy>
  <cp:lastPrinted>2022-08-29T05:35:28Z</cp:lastPrinted>
  <dcterms:modified xsi:type="dcterms:W3CDTF">2022-08-29T05:52:51Z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3597A203840E4D50AA2774D3195C5A27</vt:lpwstr>
  </property>
</Properties>
</file>