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14" w:rsidRDefault="009B0B14" w:rsidP="00005647">
      <w:pPr>
        <w:autoSpaceDE w:val="0"/>
        <w:spacing w:beforeLines="50" w:line="600" w:lineRule="exact"/>
        <w:jc w:val="center"/>
        <w:rPr>
          <w:rFonts w:ascii="宋体" w:hAnsi="宋体" w:cs="宋体"/>
          <w:b/>
          <w:sz w:val="44"/>
          <w:szCs w:val="44"/>
        </w:rPr>
      </w:pPr>
    </w:p>
    <w:p w:rsidR="009B0B14" w:rsidRDefault="00992286" w:rsidP="00005647">
      <w:pPr>
        <w:autoSpaceDE w:val="0"/>
        <w:spacing w:beforeLines="50" w:line="600" w:lineRule="exact"/>
        <w:jc w:val="center"/>
        <w:rPr>
          <w:rFonts w:ascii="宋体" w:hAnsi="宋体" w:cs="宋体"/>
          <w:b/>
          <w:sz w:val="44"/>
          <w:szCs w:val="44"/>
        </w:rPr>
      </w:pPr>
      <w:r>
        <w:rPr>
          <w:rFonts w:ascii="宋体" w:hAnsi="宋体" w:cs="宋体" w:hint="eastAsia"/>
          <w:b/>
          <w:sz w:val="44"/>
          <w:szCs w:val="44"/>
        </w:rPr>
        <w:t>关于印发辽宁省农村综合改革转移支付资金</w:t>
      </w:r>
    </w:p>
    <w:p w:rsidR="009B0B14" w:rsidRDefault="00992286" w:rsidP="00005647">
      <w:pPr>
        <w:autoSpaceDE w:val="0"/>
        <w:spacing w:beforeLines="50" w:line="600" w:lineRule="exact"/>
        <w:jc w:val="center"/>
        <w:rPr>
          <w:rFonts w:ascii="Times New Roman" w:hAnsi="Times New Roman" w:cs="Times New Roman"/>
          <w:sz w:val="44"/>
          <w:szCs w:val="44"/>
        </w:rPr>
      </w:pPr>
      <w:r>
        <w:rPr>
          <w:rFonts w:ascii="宋体" w:hAnsi="宋体" w:cs="宋体" w:hint="eastAsia"/>
          <w:b/>
          <w:sz w:val="44"/>
          <w:szCs w:val="44"/>
        </w:rPr>
        <w:t>管理办法的通知</w:t>
      </w:r>
    </w:p>
    <w:p w:rsidR="004F7471" w:rsidRDefault="004F7471">
      <w:pPr>
        <w:autoSpaceDE w:val="0"/>
        <w:spacing w:line="600" w:lineRule="exact"/>
        <w:rPr>
          <w:rFonts w:ascii="仿宋_GB2312" w:eastAsia="仿宋_GB2312" w:hAnsi="Times New Roman" w:cs="仿宋_GB2312"/>
          <w:sz w:val="44"/>
          <w:szCs w:val="44"/>
        </w:rPr>
      </w:pPr>
    </w:p>
    <w:p w:rsidR="004F7471" w:rsidRDefault="00992286">
      <w:pPr>
        <w:autoSpaceDE w:val="0"/>
        <w:spacing w:line="60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各市（不含大连）财政局、沈抚示范区财政金融局：</w:t>
      </w:r>
    </w:p>
    <w:p w:rsidR="004F7471" w:rsidRDefault="00992286" w:rsidP="00D64339">
      <w:pPr>
        <w:autoSpaceDE w:val="0"/>
        <w:spacing w:line="600" w:lineRule="exact"/>
        <w:ind w:firstLineChars="200" w:firstLine="672"/>
        <w:rPr>
          <w:rFonts w:ascii="Times New Roman" w:eastAsia="仿宋_GB2312" w:hAnsi="Times New Roman" w:cs="Times New Roman"/>
          <w:sz w:val="32"/>
          <w:szCs w:val="32"/>
        </w:rPr>
      </w:pPr>
      <w:r>
        <w:rPr>
          <w:rFonts w:ascii="仿宋_GB2312" w:eastAsia="仿宋_GB2312" w:hAnsi="Times New Roman" w:cs="仿宋_GB2312" w:hint="eastAsia"/>
          <w:sz w:val="32"/>
          <w:szCs w:val="32"/>
        </w:rPr>
        <w:t>现将《辽宁省农村综合改革转移支付资金管理办法》印发给你们，请结合工作实际，认真抓好贯彻落实。</w:t>
      </w:r>
    </w:p>
    <w:p w:rsidR="004F7471" w:rsidRDefault="004F7471">
      <w:pPr>
        <w:spacing w:line="500" w:lineRule="exact"/>
        <w:rPr>
          <w:rFonts w:ascii="仿宋_GB2312" w:eastAsia="仿宋_GB2312" w:hAnsi="宋体"/>
          <w:sz w:val="32"/>
          <w:szCs w:val="32"/>
        </w:rPr>
      </w:pPr>
    </w:p>
    <w:p w:rsidR="009B0B14" w:rsidRDefault="009B0B14">
      <w:pPr>
        <w:rPr>
          <w:rFonts w:ascii="仿宋_GB2312" w:eastAsia="仿宋_GB2312" w:hAnsi="宋体"/>
          <w:sz w:val="32"/>
          <w:szCs w:val="32"/>
        </w:rPr>
      </w:pPr>
    </w:p>
    <w:p w:rsidR="009B0B14" w:rsidRDefault="009B0B14">
      <w:pPr>
        <w:pStyle w:val="a0"/>
      </w:pPr>
    </w:p>
    <w:p w:rsidR="009B0B14" w:rsidRDefault="009B0B14"/>
    <w:p w:rsidR="004F7471" w:rsidRDefault="00992286">
      <w:pPr>
        <w:spacing w:line="500" w:lineRule="exact"/>
        <w:rPr>
          <w:rFonts w:ascii="仿宋_GB2312" w:eastAsia="仿宋_GB2312" w:hAnsi="宋体"/>
          <w:sz w:val="32"/>
          <w:szCs w:val="32"/>
        </w:rPr>
      </w:pPr>
      <w:r>
        <w:rPr>
          <w:rFonts w:ascii="仿宋_GB2312" w:eastAsia="仿宋_GB2312" w:hAnsi="宋体" w:hint="eastAsia"/>
          <w:sz w:val="32"/>
          <w:szCs w:val="32"/>
        </w:rPr>
        <w:t xml:space="preserve">                                      省财政厅</w:t>
      </w:r>
    </w:p>
    <w:p w:rsidR="004F7471" w:rsidRDefault="00992286" w:rsidP="00D64339">
      <w:pPr>
        <w:ind w:firstLineChars="1733" w:firstLine="5822"/>
        <w:rPr>
          <w:rFonts w:ascii="仿宋_GB2312" w:eastAsia="仿宋_GB2312" w:hAnsi="宋体"/>
          <w:sz w:val="32"/>
          <w:szCs w:val="32"/>
        </w:rPr>
      </w:pPr>
      <w:r>
        <w:rPr>
          <w:rFonts w:ascii="仿宋_GB2312" w:eastAsia="仿宋_GB2312" w:hAnsi="宋体" w:hint="eastAsia"/>
          <w:sz w:val="32"/>
          <w:szCs w:val="32"/>
        </w:rPr>
        <w:t>2024</w:t>
      </w:r>
      <w:r>
        <w:rPr>
          <w:rFonts w:ascii="仿宋_GB2312" w:eastAsia="仿宋_GB2312" w:hAnsi="宋体"/>
          <w:sz w:val="32"/>
          <w:szCs w:val="32"/>
        </w:rPr>
        <w:t>年</w:t>
      </w:r>
      <w:r>
        <w:rPr>
          <w:rFonts w:ascii="仿宋_GB2312" w:eastAsia="仿宋_GB2312" w:hAnsi="宋体" w:hint="eastAsia"/>
          <w:sz w:val="32"/>
          <w:szCs w:val="32"/>
        </w:rPr>
        <w:t>10</w:t>
      </w:r>
      <w:r>
        <w:rPr>
          <w:rFonts w:ascii="仿宋_GB2312" w:eastAsia="仿宋_GB2312" w:hAnsi="宋体"/>
          <w:sz w:val="32"/>
          <w:szCs w:val="32"/>
        </w:rPr>
        <w:t>月</w:t>
      </w:r>
      <w:r>
        <w:rPr>
          <w:rFonts w:ascii="仿宋_GB2312" w:eastAsia="仿宋_GB2312" w:hAnsi="宋体" w:hint="eastAsia"/>
          <w:sz w:val="32"/>
          <w:szCs w:val="32"/>
        </w:rPr>
        <w:t>16</w:t>
      </w:r>
      <w:r>
        <w:rPr>
          <w:rFonts w:ascii="仿宋_GB2312" w:eastAsia="仿宋_GB2312" w:hAnsi="宋体"/>
          <w:sz w:val="32"/>
          <w:szCs w:val="32"/>
        </w:rPr>
        <w:t>日</w:t>
      </w:r>
    </w:p>
    <w:p w:rsidR="004F7471" w:rsidRDefault="00992286">
      <w:pPr>
        <w:spacing w:line="500" w:lineRule="exact"/>
        <w:rPr>
          <w:rFonts w:ascii="仿宋_GB2312" w:eastAsia="仿宋_GB2312" w:hAnsi="宋体"/>
          <w:sz w:val="32"/>
          <w:szCs w:val="32"/>
        </w:rPr>
      </w:pPr>
      <w:r>
        <w:rPr>
          <w:rFonts w:ascii="仿宋_GB2312" w:eastAsia="仿宋_GB2312" w:hAnsi="宋体" w:hint="eastAsia"/>
          <w:sz w:val="32"/>
          <w:szCs w:val="32"/>
        </w:rPr>
        <w:t>（此件公开发布）</w:t>
      </w:r>
    </w:p>
    <w:p w:rsidR="004F7471" w:rsidRDefault="004F7471">
      <w:pPr>
        <w:spacing w:line="400" w:lineRule="exact"/>
        <w:jc w:val="left"/>
        <w:rPr>
          <w:rFonts w:ascii="黑体" w:eastAsia="黑体" w:hAnsi="黑体"/>
          <w:bCs/>
          <w:sz w:val="32"/>
          <w:szCs w:val="32"/>
        </w:rPr>
      </w:pPr>
    </w:p>
    <w:p w:rsidR="009B0B14" w:rsidRDefault="009B0B14" w:rsidP="00D63D95">
      <w:pPr>
        <w:spacing w:line="400" w:lineRule="exact"/>
        <w:ind w:firstLine="640"/>
        <w:jc w:val="left"/>
        <w:rPr>
          <w:rFonts w:ascii="黑体" w:eastAsia="黑体" w:hAnsi="黑体"/>
          <w:bCs/>
          <w:sz w:val="32"/>
          <w:szCs w:val="32"/>
        </w:rPr>
      </w:pPr>
    </w:p>
    <w:p w:rsidR="009B0B14" w:rsidRDefault="009B0B14" w:rsidP="00D63D95">
      <w:pPr>
        <w:spacing w:line="400" w:lineRule="exact"/>
        <w:ind w:firstLine="640"/>
        <w:jc w:val="left"/>
        <w:rPr>
          <w:rFonts w:ascii="黑体" w:eastAsia="黑体" w:hAnsi="黑体"/>
          <w:bCs/>
          <w:sz w:val="32"/>
          <w:szCs w:val="32"/>
        </w:rPr>
      </w:pPr>
    </w:p>
    <w:p w:rsidR="009B0B14" w:rsidRDefault="009B0B14" w:rsidP="00D63D95">
      <w:pPr>
        <w:spacing w:line="400" w:lineRule="exact"/>
        <w:ind w:firstLine="640"/>
        <w:jc w:val="left"/>
        <w:rPr>
          <w:rFonts w:ascii="黑体" w:eastAsia="黑体" w:hAnsi="黑体"/>
          <w:bCs/>
          <w:sz w:val="32"/>
          <w:szCs w:val="32"/>
        </w:rPr>
      </w:pPr>
    </w:p>
    <w:p w:rsidR="009B0B14" w:rsidRDefault="009B0B14" w:rsidP="00D63D95">
      <w:pPr>
        <w:spacing w:line="400" w:lineRule="exact"/>
        <w:ind w:firstLine="640"/>
        <w:jc w:val="left"/>
        <w:rPr>
          <w:rFonts w:ascii="黑体" w:eastAsia="黑体" w:hAnsi="黑体"/>
          <w:bCs/>
          <w:sz w:val="32"/>
          <w:szCs w:val="32"/>
        </w:rPr>
      </w:pPr>
    </w:p>
    <w:p w:rsidR="009B0B14" w:rsidRDefault="009B0B14" w:rsidP="00D63D95">
      <w:pPr>
        <w:spacing w:line="400" w:lineRule="exact"/>
        <w:ind w:firstLine="640"/>
        <w:jc w:val="left"/>
        <w:rPr>
          <w:rFonts w:ascii="黑体" w:eastAsia="黑体" w:hAnsi="黑体"/>
          <w:bCs/>
          <w:sz w:val="32"/>
          <w:szCs w:val="32"/>
        </w:rPr>
      </w:pPr>
    </w:p>
    <w:p w:rsidR="009B0B14" w:rsidRDefault="009B0B14" w:rsidP="00D63D95">
      <w:pPr>
        <w:spacing w:line="400" w:lineRule="exact"/>
        <w:ind w:firstLine="640"/>
        <w:jc w:val="left"/>
        <w:rPr>
          <w:rFonts w:ascii="黑体" w:eastAsia="黑体" w:hAnsi="黑体"/>
          <w:bCs/>
          <w:sz w:val="32"/>
          <w:szCs w:val="32"/>
        </w:rPr>
      </w:pPr>
    </w:p>
    <w:p w:rsidR="009B0B14" w:rsidRDefault="009B0B14" w:rsidP="00D63D95">
      <w:pPr>
        <w:spacing w:line="400" w:lineRule="exact"/>
        <w:ind w:firstLine="640"/>
        <w:jc w:val="left"/>
        <w:rPr>
          <w:rFonts w:ascii="黑体" w:eastAsia="黑体" w:hAnsi="黑体"/>
          <w:bCs/>
          <w:sz w:val="32"/>
          <w:szCs w:val="32"/>
        </w:rPr>
      </w:pPr>
    </w:p>
    <w:p w:rsidR="009B0B14" w:rsidRDefault="009B0B14" w:rsidP="00D63D95">
      <w:pPr>
        <w:spacing w:line="400" w:lineRule="exact"/>
        <w:ind w:firstLine="640"/>
        <w:jc w:val="left"/>
        <w:rPr>
          <w:rFonts w:ascii="黑体" w:eastAsia="黑体" w:hAnsi="黑体"/>
          <w:bCs/>
          <w:sz w:val="32"/>
          <w:szCs w:val="32"/>
        </w:rPr>
      </w:pPr>
    </w:p>
    <w:p w:rsidR="009B0B14" w:rsidRDefault="009B0B14" w:rsidP="00D63D95">
      <w:pPr>
        <w:spacing w:line="400" w:lineRule="exact"/>
        <w:ind w:firstLine="640"/>
        <w:jc w:val="left"/>
        <w:rPr>
          <w:rFonts w:ascii="黑体" w:eastAsia="黑体" w:hAnsi="黑体"/>
          <w:bCs/>
          <w:sz w:val="32"/>
          <w:szCs w:val="32"/>
        </w:rPr>
      </w:pPr>
    </w:p>
    <w:p w:rsidR="009B0B14" w:rsidRDefault="009B0B14" w:rsidP="00D63D95">
      <w:pPr>
        <w:spacing w:line="400" w:lineRule="exact"/>
        <w:ind w:firstLine="640"/>
        <w:jc w:val="left"/>
        <w:rPr>
          <w:rFonts w:ascii="黑体" w:eastAsia="黑体" w:hAnsi="黑体"/>
          <w:bCs/>
          <w:sz w:val="32"/>
          <w:szCs w:val="32"/>
        </w:rPr>
      </w:pPr>
    </w:p>
    <w:p w:rsidR="009B0B14" w:rsidRDefault="009B0B14">
      <w:pPr>
        <w:spacing w:line="400" w:lineRule="exact"/>
        <w:jc w:val="left"/>
        <w:rPr>
          <w:rFonts w:ascii="黑体" w:eastAsia="黑体" w:hAnsi="黑体"/>
          <w:bCs/>
          <w:sz w:val="32"/>
          <w:szCs w:val="32"/>
        </w:rPr>
      </w:pPr>
    </w:p>
    <w:p w:rsidR="004F7471" w:rsidRDefault="00992286">
      <w:pPr>
        <w:autoSpaceDE w:val="0"/>
        <w:spacing w:line="600" w:lineRule="exact"/>
        <w:jc w:val="center"/>
        <w:rPr>
          <w:rFonts w:ascii="宋体" w:hAnsi="宋体" w:cs="宋体"/>
          <w:b/>
          <w:sz w:val="44"/>
          <w:szCs w:val="44"/>
        </w:rPr>
      </w:pPr>
      <w:r>
        <w:rPr>
          <w:rFonts w:ascii="宋体" w:hAnsi="宋体" w:cs="宋体" w:hint="eastAsia"/>
          <w:b/>
          <w:sz w:val="44"/>
          <w:szCs w:val="44"/>
        </w:rPr>
        <w:lastRenderedPageBreak/>
        <w:t>辽宁省农村综合改革转移支付资金</w:t>
      </w:r>
    </w:p>
    <w:p w:rsidR="004F7471" w:rsidRDefault="00992286">
      <w:pPr>
        <w:autoSpaceDE w:val="0"/>
        <w:spacing w:line="600" w:lineRule="exact"/>
        <w:jc w:val="center"/>
        <w:rPr>
          <w:rFonts w:ascii="Times New Roman" w:hAnsi="Times New Roman" w:cs="Times New Roman"/>
          <w:szCs w:val="21"/>
        </w:rPr>
      </w:pPr>
      <w:r>
        <w:rPr>
          <w:rFonts w:ascii="宋体" w:hAnsi="宋体" w:cs="宋体" w:hint="eastAsia"/>
          <w:b/>
          <w:sz w:val="44"/>
          <w:szCs w:val="44"/>
        </w:rPr>
        <w:t>管理办法</w:t>
      </w:r>
    </w:p>
    <w:p w:rsidR="004F7471" w:rsidRDefault="00992286">
      <w:pPr>
        <w:autoSpaceDE w:val="0"/>
        <w:spacing w:line="600" w:lineRule="exact"/>
        <w:ind w:firstLineChars="200" w:firstLine="420"/>
        <w:rPr>
          <w:rFonts w:ascii="Times New Roman" w:hAnsi="Times New Roman" w:cs="Times New Roman"/>
          <w:szCs w:val="21"/>
        </w:rPr>
      </w:pPr>
      <w:r>
        <w:rPr>
          <w:rFonts w:ascii="Times New Roman" w:hAnsi="Times New Roman" w:cs="Times New Roman"/>
          <w:szCs w:val="21"/>
        </w:rPr>
        <w:t xml:space="preserve"> </w:t>
      </w:r>
    </w:p>
    <w:p w:rsidR="004F7471" w:rsidRDefault="00992286">
      <w:pPr>
        <w:autoSpaceDE w:val="0"/>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hint="eastAsia"/>
          <w:sz w:val="32"/>
          <w:szCs w:val="32"/>
        </w:rPr>
        <w:t xml:space="preserve">  </w:t>
      </w:r>
      <w:r>
        <w:rPr>
          <w:rFonts w:ascii="黑体" w:eastAsia="黑体" w:hAnsi="宋体" w:hint="eastAsia"/>
          <w:sz w:val="32"/>
          <w:szCs w:val="32"/>
        </w:rPr>
        <w:t>总</w:t>
      </w:r>
      <w:r>
        <w:rPr>
          <w:rFonts w:ascii="Times New Roman" w:eastAsia="黑体" w:hAnsi="Times New Roman" w:cs="Times New Roman"/>
          <w:sz w:val="32"/>
          <w:szCs w:val="32"/>
        </w:rPr>
        <w:t xml:space="preserve">  </w:t>
      </w:r>
      <w:r>
        <w:rPr>
          <w:rFonts w:ascii="黑体" w:eastAsia="黑体" w:hAnsi="宋体" w:hint="eastAsia"/>
          <w:sz w:val="32"/>
          <w:szCs w:val="32"/>
        </w:rPr>
        <w:t>则</w:t>
      </w:r>
    </w:p>
    <w:p w:rsidR="004F7471" w:rsidRDefault="00992286">
      <w:pPr>
        <w:autoSpaceDE w:val="0"/>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第一条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仿宋" w:eastAsia="仿宋" w:hAnsi="仿宋" w:cs="仿宋" w:hint="eastAsia"/>
          <w:sz w:val="32"/>
          <w:szCs w:val="32"/>
        </w:rPr>
        <w:t>为加强农村综合改革转移支付资金管理，提高资金使用效益，推动落实党中央、国务院有关农村综合改革发展重大决策部署和省委、省政府工作要求，根据《中华人民共和国预算法》《中华人民共和国预算法实施条例》等法律法规和《财政部关于印发〈农村综合改革转移支付资金管理办法〉的通知》（财农〔</w:t>
      </w:r>
      <w:r>
        <w:rPr>
          <w:rFonts w:ascii="Times New Roman" w:eastAsia="仿宋" w:hAnsi="Times New Roman" w:cs="Times New Roman"/>
          <w:sz w:val="32"/>
          <w:szCs w:val="32"/>
        </w:rPr>
        <w:t>2023</w:t>
      </w:r>
      <w:r>
        <w:rPr>
          <w:rFonts w:ascii="仿宋" w:eastAsia="仿宋" w:hAnsi="仿宋" w:cs="仿宋" w:hint="eastAsia"/>
          <w:sz w:val="32"/>
          <w:szCs w:val="32"/>
        </w:rPr>
        <w:t>〕</w:t>
      </w:r>
      <w:r>
        <w:rPr>
          <w:rFonts w:ascii="Times New Roman" w:eastAsia="仿宋" w:hAnsi="Times New Roman" w:cs="Times New Roman"/>
          <w:sz w:val="32"/>
          <w:szCs w:val="32"/>
        </w:rPr>
        <w:t>81</w:t>
      </w:r>
      <w:r>
        <w:rPr>
          <w:rFonts w:ascii="仿宋" w:eastAsia="仿宋" w:hAnsi="仿宋" w:cs="仿宋" w:hint="eastAsia"/>
          <w:sz w:val="32"/>
          <w:szCs w:val="32"/>
        </w:rPr>
        <w:t>号）等制度规定，制定本办法。</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第二条</w:t>
      </w:r>
      <w:r>
        <w:rPr>
          <w:rFonts w:ascii="仿宋" w:eastAsia="仿宋" w:hAnsi="仿宋" w:cs="仿宋" w:hint="eastAsia"/>
          <w:b/>
          <w:sz w:val="32"/>
          <w:szCs w:val="32"/>
        </w:rPr>
        <w:t xml:space="preserve"> </w:t>
      </w:r>
      <w:r>
        <w:rPr>
          <w:rFonts w:ascii="Times New Roman" w:eastAsia="仿宋" w:hAnsi="Times New Roman" w:cs="Times New Roman"/>
          <w:sz w:val="32"/>
          <w:szCs w:val="32"/>
        </w:rPr>
        <w:t xml:space="preserve"> </w:t>
      </w:r>
      <w:r>
        <w:rPr>
          <w:rFonts w:ascii="仿宋" w:eastAsia="仿宋" w:hAnsi="仿宋" w:cs="仿宋" w:hint="eastAsia"/>
          <w:sz w:val="32"/>
          <w:szCs w:val="32"/>
        </w:rPr>
        <w:t>本办法所称农村综合改革转移支付资金是指中央财政安排我省用于支持农村综合改革发展工作的专项转移支付资金和省财政安排用于支持农村综合改革发展工作的补助资金。</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第三条</w:t>
      </w:r>
      <w:r>
        <w:rPr>
          <w:rFonts w:ascii="仿宋" w:eastAsia="仿宋" w:hAnsi="仿宋" w:cs="仿宋" w:hint="eastAsia"/>
          <w:b/>
          <w:sz w:val="32"/>
          <w:szCs w:val="32"/>
        </w:rPr>
        <w:t xml:space="preserve"> </w:t>
      </w:r>
      <w:r>
        <w:rPr>
          <w:rFonts w:ascii="Times New Roman" w:eastAsia="仿宋" w:hAnsi="Times New Roman" w:cs="Times New Roman"/>
          <w:sz w:val="32"/>
          <w:szCs w:val="32"/>
        </w:rPr>
        <w:t xml:space="preserve"> </w:t>
      </w:r>
      <w:r>
        <w:rPr>
          <w:rFonts w:ascii="仿宋" w:eastAsia="仿宋" w:hAnsi="仿宋" w:cs="仿宋" w:hint="eastAsia"/>
          <w:sz w:val="32"/>
          <w:szCs w:val="32"/>
        </w:rPr>
        <w:t>省财政厅负责制定全省农村综合改革发展政策，统筹中央专项转移支付，编制省级农村综合改革转移支付资金预算，分配下达资金和工作任务，组织开展预算绩效管理工作，指导市县加强资金管理等相关工作；市级财政部门负责分配和管理上级下达资金和本级安排的农村综合改革转移支付资金，实施预算绩效管理工作，指导县（市、区）加强资金管理等相关工作；县级财政部门负责统筹安排、审核拨付、使用监督各级农村综合改革转移支付资金，组织项目实施、项目管理和预算绩效管理等工作。</w:t>
      </w:r>
      <w:r>
        <w:rPr>
          <w:rFonts w:ascii="仿宋" w:eastAsia="仿宋" w:hAnsi="仿宋" w:cs="仿宋" w:hint="eastAsia"/>
          <w:sz w:val="32"/>
          <w:szCs w:val="32"/>
        </w:rPr>
        <w:lastRenderedPageBreak/>
        <w:t>市县财政部门要对上报的可能影响资金分配结果的有关数据和信息的真实性、准确性以及资金使用的合规性和有效性负责。</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第四条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仿宋" w:eastAsia="仿宋" w:hAnsi="仿宋" w:cs="仿宋" w:hint="eastAsia"/>
          <w:sz w:val="32"/>
          <w:szCs w:val="32"/>
        </w:rPr>
        <w:t>市县财政部门应将农村综合改革转移支付资金列入本级预算，创新资金投入和使用方式，积极采用以奖代补、民办公助、政府购买服务等方式，引导广大农民群众和社会力量参与农村综合改革发展有关事项，放大财政资金使用效能。</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4F7471" w:rsidRDefault="00992286">
      <w:pPr>
        <w:autoSpaceDE w:val="0"/>
        <w:spacing w:line="600" w:lineRule="exact"/>
        <w:ind w:firstLineChars="200" w:firstLine="640"/>
        <w:jc w:val="center"/>
        <w:rPr>
          <w:rFonts w:ascii="Times New Roman" w:eastAsia="黑体" w:hAnsi="Times New Roman" w:cs="Times New Roman"/>
          <w:sz w:val="32"/>
          <w:szCs w:val="32"/>
        </w:rPr>
      </w:pPr>
      <w:r>
        <w:rPr>
          <w:rFonts w:ascii="黑体" w:eastAsia="黑体" w:hAnsi="宋体" w:hint="eastAsia"/>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资金</w:t>
      </w:r>
      <w:r>
        <w:rPr>
          <w:rFonts w:ascii="黑体" w:eastAsia="黑体" w:hAnsi="宋体" w:hint="eastAsia"/>
          <w:sz w:val="32"/>
          <w:szCs w:val="32"/>
        </w:rPr>
        <w:t>使用范围</w:t>
      </w:r>
    </w:p>
    <w:p w:rsidR="004F7471" w:rsidRDefault="00992286" w:rsidP="00D64339">
      <w:pPr>
        <w:autoSpaceDE w:val="0"/>
        <w:spacing w:line="600" w:lineRule="exact"/>
        <w:ind w:firstLineChars="200" w:firstLine="640"/>
        <w:rPr>
          <w:rFonts w:ascii="黑体" w:eastAsia="黑体" w:hAnsi="黑体"/>
          <w:bCs/>
          <w:sz w:val="32"/>
          <w:szCs w:val="32"/>
        </w:rPr>
      </w:pPr>
      <w:r>
        <w:rPr>
          <w:rFonts w:ascii="黑体" w:eastAsia="黑体" w:hAnsi="黑体" w:hint="eastAsia"/>
          <w:bCs/>
          <w:sz w:val="32"/>
          <w:szCs w:val="32"/>
        </w:rPr>
        <w:t xml:space="preserve"> </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第五条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仿宋" w:eastAsia="仿宋" w:hAnsi="仿宋" w:cs="仿宋" w:hint="eastAsia"/>
          <w:sz w:val="32"/>
          <w:szCs w:val="32"/>
        </w:rPr>
        <w:t>农村综合改革转移支付资金用于补助各地开展农村公益事业建设财政奖补、农村综合改革发展相关试点试验等支出。</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仿宋" w:eastAsia="仿宋" w:hAnsi="仿宋" w:cs="仿宋" w:hint="eastAsia"/>
          <w:sz w:val="32"/>
          <w:szCs w:val="32"/>
        </w:rPr>
        <w:t>（一）农村公益事业建设财政奖补支出用于农民通过民主程序议定的“村内户外”农村公益事业建设项目，主要支持村内道路建设（含新建、维修维护、改扩建）、村容村貌改造、村内坑塘沟渠以及村民通过民主程序议定需要兴办且符合有关规定的其他公益事业建设项目。</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仿宋" w:eastAsia="仿宋" w:hAnsi="仿宋" w:cs="仿宋" w:hint="eastAsia"/>
          <w:sz w:val="32"/>
          <w:szCs w:val="32"/>
        </w:rPr>
        <w:t>（二）农村综合改革发展相关试点试验支出用于落实国家和省部署要求，按程序支持各地承担试点试验任务。</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第六条</w:t>
      </w:r>
      <w:r>
        <w:rPr>
          <w:rFonts w:ascii="仿宋" w:eastAsia="仿宋" w:hAnsi="仿宋" w:cs="仿宋" w:hint="eastAsia"/>
          <w:b/>
          <w:sz w:val="32"/>
          <w:szCs w:val="32"/>
        </w:rPr>
        <w:t xml:space="preserve"> </w:t>
      </w:r>
      <w:r>
        <w:rPr>
          <w:rFonts w:ascii="Times New Roman" w:eastAsia="仿宋" w:hAnsi="Times New Roman" w:cs="Times New Roman"/>
          <w:sz w:val="32"/>
          <w:szCs w:val="32"/>
        </w:rPr>
        <w:t xml:space="preserve"> </w:t>
      </w:r>
      <w:r>
        <w:rPr>
          <w:rFonts w:ascii="仿宋" w:eastAsia="仿宋" w:hAnsi="仿宋" w:cs="仿宋" w:hint="eastAsia"/>
          <w:sz w:val="32"/>
          <w:szCs w:val="32"/>
        </w:rPr>
        <w:t>农村综合改革转移支付资金不得用于单位基本支出、修建楼堂馆所、单位工资奖金津贴和福利支出、弥补预算支出缺口、偿还债务及其他与农村综合改革发展无关的支出。农村综合改革发展相关项目实施不得新增地方政府隐性债务，不得新</w:t>
      </w:r>
      <w:r>
        <w:rPr>
          <w:rFonts w:ascii="仿宋" w:eastAsia="仿宋" w:hAnsi="仿宋" w:cs="仿宋" w:hint="eastAsia"/>
          <w:sz w:val="32"/>
          <w:szCs w:val="32"/>
        </w:rPr>
        <w:lastRenderedPageBreak/>
        <w:t>增村级债务。</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第七条</w:t>
      </w:r>
      <w:r>
        <w:rPr>
          <w:rFonts w:ascii="仿宋" w:eastAsia="仿宋" w:hAnsi="仿宋" w:cs="仿宋" w:hint="eastAsia"/>
          <w:b/>
          <w:sz w:val="32"/>
          <w:szCs w:val="32"/>
        </w:rPr>
        <w:t xml:space="preserve"> </w:t>
      </w:r>
      <w:r>
        <w:rPr>
          <w:rFonts w:ascii="Times New Roman" w:eastAsia="仿宋" w:hAnsi="Times New Roman" w:cs="Times New Roman"/>
          <w:sz w:val="32"/>
          <w:szCs w:val="32"/>
        </w:rPr>
        <w:t xml:space="preserve"> </w:t>
      </w:r>
      <w:r>
        <w:rPr>
          <w:rFonts w:ascii="仿宋" w:eastAsia="仿宋" w:hAnsi="仿宋" w:cs="仿宋" w:hint="eastAsia"/>
          <w:sz w:val="32"/>
          <w:szCs w:val="32"/>
        </w:rPr>
        <w:t>农村综合改革转移支付资金形成的公益性资产，市财政应当指导县级明确管护主体，落实管护责任，确保项目正常运转并长期发挥效益。管理主体应当按照有关法律</w:t>
      </w:r>
      <w:r>
        <w:rPr>
          <w:rFonts w:ascii="Times New Roman" w:eastAsia="仿宋" w:hAnsi="Times New Roman" w:cs="Times New Roman" w:hint="eastAsia"/>
          <w:sz w:val="32"/>
          <w:szCs w:val="32"/>
        </w:rPr>
        <w:t xml:space="preserve"> </w:t>
      </w:r>
      <w:r>
        <w:rPr>
          <w:rFonts w:ascii="仿宋" w:eastAsia="仿宋" w:hAnsi="仿宋" w:cs="仿宋" w:hint="eastAsia"/>
          <w:sz w:val="32"/>
          <w:szCs w:val="32"/>
        </w:rPr>
        <w:t>、法规、政策等加强固定资产购置、使用、处置管理，落实经营管理责任，依法合规计提折旧。在建工程项目验收合格、交付使用后，应当及时办理竣工决算手续。</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4F7471" w:rsidRDefault="00992286">
      <w:pPr>
        <w:autoSpaceDE w:val="0"/>
        <w:spacing w:line="600" w:lineRule="exact"/>
        <w:ind w:firstLineChars="200" w:firstLine="640"/>
        <w:jc w:val="center"/>
        <w:rPr>
          <w:rFonts w:ascii="Times New Roman" w:eastAsia="黑体" w:hAnsi="Times New Roman" w:cs="Times New Roman"/>
          <w:sz w:val="32"/>
          <w:szCs w:val="32"/>
        </w:rPr>
      </w:pPr>
      <w:r>
        <w:rPr>
          <w:rFonts w:ascii="黑体" w:eastAsia="黑体" w:hAnsi="宋体" w:hint="eastAsia"/>
          <w:sz w:val="32"/>
          <w:szCs w:val="32"/>
        </w:rPr>
        <w:t>第三章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资金</w:t>
      </w:r>
      <w:r>
        <w:rPr>
          <w:rFonts w:ascii="黑体" w:eastAsia="黑体" w:hAnsi="宋体" w:hint="eastAsia"/>
          <w:sz w:val="32"/>
          <w:szCs w:val="32"/>
        </w:rPr>
        <w:t>测算分配</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第八条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仿宋" w:eastAsia="仿宋" w:hAnsi="仿宋" w:cs="仿宋" w:hint="eastAsia"/>
          <w:sz w:val="32"/>
          <w:szCs w:val="32"/>
        </w:rPr>
        <w:t>农村综合改革转移支付资金的分配遵循规范、公正、公开的原则，主要采用因素法和定额法进行测算分配，并根据资金使用绩效等系数进行适当调节。各支出方向测算因素如下：</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仿宋" w:eastAsia="仿宋" w:hAnsi="仿宋" w:cs="仿宋" w:hint="eastAsia"/>
          <w:sz w:val="32"/>
          <w:szCs w:val="32"/>
        </w:rPr>
        <w:t>（一）农村公益事业建设财政奖补支出按照各地乡村人口数量（权重</w:t>
      </w:r>
      <w:r>
        <w:rPr>
          <w:rFonts w:ascii="Times New Roman" w:eastAsia="仿宋" w:hAnsi="Times New Roman" w:cs="Times New Roman"/>
          <w:sz w:val="32"/>
          <w:szCs w:val="32"/>
        </w:rPr>
        <w:t>20%</w:t>
      </w:r>
      <w:r>
        <w:rPr>
          <w:rFonts w:ascii="仿宋" w:eastAsia="仿宋" w:hAnsi="仿宋" w:cs="仿宋" w:hint="eastAsia"/>
          <w:sz w:val="32"/>
          <w:szCs w:val="32"/>
        </w:rPr>
        <w:t>）、村民委员会数量（权重</w:t>
      </w:r>
      <w:r>
        <w:rPr>
          <w:rFonts w:ascii="Times New Roman" w:eastAsia="仿宋" w:hAnsi="Times New Roman" w:cs="Times New Roman"/>
          <w:sz w:val="32"/>
          <w:szCs w:val="32"/>
        </w:rPr>
        <w:t>10%</w:t>
      </w:r>
      <w:r>
        <w:rPr>
          <w:rFonts w:ascii="仿宋" w:eastAsia="仿宋" w:hAnsi="仿宋" w:cs="仿宋" w:hint="eastAsia"/>
          <w:sz w:val="32"/>
          <w:szCs w:val="32"/>
        </w:rPr>
        <w:t>）、财政依赖程度（</w:t>
      </w:r>
      <w:r>
        <w:rPr>
          <w:rFonts w:ascii="Times New Roman" w:eastAsia="仿宋" w:hAnsi="Times New Roman" w:cs="Times New Roman"/>
          <w:sz w:val="32"/>
          <w:szCs w:val="32"/>
        </w:rPr>
        <w:t>1-</w:t>
      </w:r>
      <w:r>
        <w:rPr>
          <w:rFonts w:ascii="仿宋" w:eastAsia="仿宋" w:hAnsi="仿宋" w:cs="仿宋" w:hint="eastAsia"/>
          <w:sz w:val="32"/>
          <w:szCs w:val="32"/>
        </w:rPr>
        <w:t>自给率，权重</w:t>
      </w:r>
      <w:r>
        <w:rPr>
          <w:rFonts w:ascii="Times New Roman" w:eastAsia="仿宋" w:hAnsi="Times New Roman" w:cs="Times New Roman"/>
          <w:sz w:val="32"/>
          <w:szCs w:val="32"/>
        </w:rPr>
        <w:t>10%</w:t>
      </w:r>
      <w:r>
        <w:rPr>
          <w:rFonts w:ascii="仿宋" w:eastAsia="仿宋" w:hAnsi="仿宋" w:cs="仿宋" w:hint="eastAsia"/>
          <w:sz w:val="32"/>
          <w:szCs w:val="32"/>
        </w:rPr>
        <w:t>）、预算执行情况（权重</w:t>
      </w:r>
      <w:r>
        <w:rPr>
          <w:rFonts w:ascii="Times New Roman" w:eastAsia="仿宋" w:hAnsi="Times New Roman" w:cs="Times New Roman"/>
          <w:sz w:val="32"/>
          <w:szCs w:val="32"/>
        </w:rPr>
        <w:t>30%</w:t>
      </w:r>
      <w:r>
        <w:rPr>
          <w:rFonts w:ascii="仿宋" w:eastAsia="仿宋" w:hAnsi="仿宋" w:cs="仿宋" w:hint="eastAsia"/>
          <w:sz w:val="32"/>
          <w:szCs w:val="32"/>
        </w:rPr>
        <w:t>）、绩效评价结果（权重</w:t>
      </w:r>
      <w:r>
        <w:rPr>
          <w:rFonts w:ascii="Times New Roman" w:eastAsia="仿宋" w:hAnsi="Times New Roman" w:cs="Times New Roman"/>
          <w:sz w:val="32"/>
          <w:szCs w:val="32"/>
        </w:rPr>
        <w:t>20%</w:t>
      </w:r>
      <w:r>
        <w:rPr>
          <w:rFonts w:ascii="仿宋" w:eastAsia="仿宋" w:hAnsi="仿宋" w:cs="仿宋" w:hint="eastAsia"/>
          <w:sz w:val="32"/>
          <w:szCs w:val="32"/>
        </w:rPr>
        <w:t>）、资金使用管理监督情况（权重</w:t>
      </w:r>
      <w:r>
        <w:rPr>
          <w:rFonts w:ascii="Times New Roman" w:eastAsia="仿宋" w:hAnsi="Times New Roman" w:cs="Times New Roman"/>
          <w:sz w:val="32"/>
          <w:szCs w:val="32"/>
        </w:rPr>
        <w:t>10%</w:t>
      </w:r>
      <w:r>
        <w:rPr>
          <w:rFonts w:ascii="仿宋" w:eastAsia="仿宋" w:hAnsi="仿宋" w:cs="仿宋" w:hint="eastAsia"/>
          <w:sz w:val="32"/>
          <w:szCs w:val="32"/>
        </w:rPr>
        <w:t>）等因素测算分配。</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仿宋" w:eastAsia="仿宋" w:hAnsi="仿宋" w:cs="仿宋" w:hint="eastAsia"/>
          <w:sz w:val="32"/>
          <w:szCs w:val="32"/>
        </w:rPr>
        <w:t>（二）对承担国家和省级相关试点试验任务的地区实行定额补助，省财政按照财政部补助额度的</w:t>
      </w:r>
      <w:r>
        <w:rPr>
          <w:rFonts w:ascii="仿宋" w:eastAsia="仿宋" w:hAnsi="仿宋" w:cs="仿宋"/>
          <w:sz w:val="32"/>
          <w:szCs w:val="32"/>
        </w:rPr>
        <w:t>一定比例</w:t>
      </w:r>
      <w:r>
        <w:rPr>
          <w:rFonts w:ascii="仿宋" w:eastAsia="仿宋" w:hAnsi="仿宋" w:cs="仿宋" w:hint="eastAsia"/>
          <w:sz w:val="32"/>
          <w:szCs w:val="32"/>
        </w:rPr>
        <w:t>安排补助资金，</w:t>
      </w:r>
      <w:r>
        <w:rPr>
          <w:rFonts w:ascii="仿宋" w:eastAsia="仿宋" w:hAnsi="仿宋" w:cs="仿宋"/>
          <w:sz w:val="32"/>
          <w:szCs w:val="32"/>
        </w:rPr>
        <w:t>并</w:t>
      </w:r>
      <w:r>
        <w:rPr>
          <w:rFonts w:ascii="仿宋" w:eastAsia="仿宋" w:hAnsi="仿宋" w:cs="仿宋" w:hint="eastAsia"/>
          <w:sz w:val="32"/>
          <w:szCs w:val="32"/>
        </w:rPr>
        <w:t>根据工作完成情况上下浮动，浮动比例不超过补助资金的</w:t>
      </w:r>
      <w:r>
        <w:rPr>
          <w:rFonts w:ascii="Times New Roman" w:eastAsia="仿宋" w:hAnsi="Times New Roman" w:cs="Times New Roman"/>
          <w:sz w:val="32"/>
          <w:szCs w:val="32"/>
        </w:rPr>
        <w:t>20%</w:t>
      </w:r>
      <w:r>
        <w:rPr>
          <w:rFonts w:ascii="仿宋" w:eastAsia="仿宋" w:hAnsi="仿宋" w:cs="仿宋" w:hint="eastAsia"/>
          <w:sz w:val="32"/>
          <w:szCs w:val="32"/>
        </w:rPr>
        <w:t>。财政部对省配套资金有明确规定的按照规定执行。</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仿宋" w:eastAsia="仿宋" w:hAnsi="仿宋" w:cs="仿宋" w:hint="eastAsia"/>
          <w:sz w:val="32"/>
          <w:szCs w:val="32"/>
        </w:rPr>
        <w:lastRenderedPageBreak/>
        <w:t>（三）其他支出按照国家和省有关规定执行。</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4F7471" w:rsidRDefault="00992286">
      <w:pPr>
        <w:autoSpaceDE w:val="0"/>
        <w:spacing w:line="600" w:lineRule="exact"/>
        <w:ind w:firstLineChars="200" w:firstLine="640"/>
        <w:jc w:val="center"/>
        <w:rPr>
          <w:rFonts w:ascii="Times New Roman" w:eastAsia="黑体" w:hAnsi="Times New Roman" w:cs="Times New Roman"/>
          <w:sz w:val="32"/>
          <w:szCs w:val="32"/>
        </w:rPr>
      </w:pPr>
      <w:r>
        <w:rPr>
          <w:rFonts w:ascii="黑体" w:eastAsia="黑体" w:hAnsi="宋体" w:hint="eastAsia"/>
          <w:sz w:val="32"/>
          <w:szCs w:val="32"/>
        </w:rPr>
        <w:t>第四章</w:t>
      </w:r>
      <w:r>
        <w:rPr>
          <w:rFonts w:ascii="Times New Roman" w:eastAsia="黑体" w:hAnsi="Times New Roman" w:cs="Times New Roman"/>
          <w:sz w:val="32"/>
          <w:szCs w:val="32"/>
        </w:rPr>
        <w:t xml:space="preserve">  </w:t>
      </w:r>
      <w:r>
        <w:rPr>
          <w:rFonts w:ascii="黑体" w:eastAsia="黑体" w:hAnsi="宋体" w:hint="eastAsia"/>
          <w:sz w:val="32"/>
          <w:szCs w:val="32"/>
        </w:rPr>
        <w:t>预算下达</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第九条</w:t>
      </w:r>
      <w:r>
        <w:rPr>
          <w:rFonts w:ascii="仿宋" w:eastAsia="仿宋" w:hAnsi="仿宋" w:cs="仿宋" w:hint="eastAsia"/>
          <w:b/>
          <w:sz w:val="32"/>
          <w:szCs w:val="32"/>
        </w:rPr>
        <w:t xml:space="preserve"> </w:t>
      </w:r>
      <w:r>
        <w:rPr>
          <w:rFonts w:ascii="Times New Roman" w:eastAsia="仿宋" w:hAnsi="Times New Roman" w:cs="Times New Roman"/>
          <w:sz w:val="32"/>
          <w:szCs w:val="32"/>
        </w:rPr>
        <w:t xml:space="preserve"> </w:t>
      </w:r>
      <w:r>
        <w:rPr>
          <w:rFonts w:ascii="仿宋" w:eastAsia="仿宋" w:hAnsi="仿宋" w:cs="仿宋" w:hint="eastAsia"/>
          <w:sz w:val="32"/>
          <w:szCs w:val="32"/>
        </w:rPr>
        <w:t>省财政厅在接到中央农村综合改革转移支付（含提前下达资金）后</w:t>
      </w:r>
      <w:r>
        <w:rPr>
          <w:rFonts w:ascii="Times New Roman" w:eastAsia="仿宋" w:hAnsi="Times New Roman" w:cs="Times New Roman"/>
          <w:sz w:val="32"/>
          <w:szCs w:val="32"/>
        </w:rPr>
        <w:t>30</w:t>
      </w:r>
      <w:r>
        <w:rPr>
          <w:rFonts w:ascii="仿宋" w:eastAsia="仿宋" w:hAnsi="仿宋" w:cs="仿宋" w:hint="eastAsia"/>
          <w:sz w:val="32"/>
          <w:szCs w:val="32"/>
        </w:rPr>
        <w:t>日内，将资金分解下达到各市县财政部门，同时下达农村综合改革发展年度重点任务和绩效目标，将分配结果报财政部备案并抄送财政部辽宁监管局。</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第十条</w:t>
      </w:r>
      <w:r>
        <w:rPr>
          <w:rFonts w:ascii="仿宋" w:eastAsia="仿宋" w:hAnsi="仿宋" w:cs="仿宋" w:hint="eastAsia"/>
          <w:b/>
          <w:sz w:val="32"/>
          <w:szCs w:val="32"/>
        </w:rPr>
        <w:t xml:space="preserve"> </w:t>
      </w:r>
      <w:r>
        <w:rPr>
          <w:rFonts w:ascii="Times New Roman" w:eastAsia="仿宋" w:hAnsi="Times New Roman" w:cs="Times New Roman"/>
          <w:sz w:val="32"/>
          <w:szCs w:val="32"/>
        </w:rPr>
        <w:t xml:space="preserve"> </w:t>
      </w:r>
      <w:r>
        <w:rPr>
          <w:rFonts w:ascii="仿宋" w:eastAsia="仿宋" w:hAnsi="仿宋" w:cs="仿宋" w:hint="eastAsia"/>
          <w:sz w:val="32"/>
          <w:szCs w:val="32"/>
        </w:rPr>
        <w:t>根据预算管理有关要求，省财政厅将下一年度省级农村综合改革转移支付资金一定比例的预计数提前下达到相关市县。在省人代会批准省本级预算后</w:t>
      </w:r>
      <w:r>
        <w:rPr>
          <w:rFonts w:ascii="Times New Roman" w:eastAsia="仿宋" w:hAnsi="Times New Roman" w:cs="Times New Roman"/>
          <w:sz w:val="32"/>
          <w:szCs w:val="32"/>
        </w:rPr>
        <w:t>60</w:t>
      </w:r>
      <w:r>
        <w:rPr>
          <w:rFonts w:ascii="仿宋" w:eastAsia="仿宋" w:hAnsi="仿宋" w:cs="仿宋" w:hint="eastAsia"/>
          <w:sz w:val="32"/>
          <w:szCs w:val="32"/>
        </w:rPr>
        <w:t>日内，下达省级农村综合改革转移支付资金，相关试点试验资金根据试点工作开展情况及时分配下达。</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 xml:space="preserve">第十一条 </w:t>
      </w:r>
      <w:r>
        <w:rPr>
          <w:rFonts w:ascii="Times New Roman" w:eastAsia="仿宋" w:hAnsi="Times New Roman" w:cs="Times New Roman"/>
          <w:sz w:val="32"/>
          <w:szCs w:val="32"/>
        </w:rPr>
        <w:t xml:space="preserve"> </w:t>
      </w:r>
      <w:r>
        <w:rPr>
          <w:rFonts w:ascii="仿宋" w:eastAsia="仿宋" w:hAnsi="仿宋" w:cs="仿宋" w:hint="eastAsia"/>
          <w:sz w:val="32"/>
          <w:szCs w:val="32"/>
        </w:rPr>
        <w:t>市县财政部门要及时分配上级下达和本级预算安排的农村综合改革转移支付资金。县级财政部门应结合农村综合改革发展年度重点任务、本地实际情况等，做好农村综合改革转移支付资金使用规划，统筹中央农村综合改革专项转移支付资金、省市县农村综合改革转移支付资金，保障完成农村综合改革发展目标任务。中央和省级财政资金应当按照规定的用途使用，不得超范围用于地方性政策任务。</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4F7471" w:rsidRDefault="00992286">
      <w:pPr>
        <w:autoSpaceDE w:val="0"/>
        <w:spacing w:line="600" w:lineRule="exact"/>
        <w:ind w:firstLineChars="200" w:firstLine="640"/>
        <w:jc w:val="center"/>
        <w:rPr>
          <w:rFonts w:ascii="Times New Roman" w:eastAsia="黑体" w:hAnsi="Times New Roman" w:cs="Times New Roman"/>
          <w:sz w:val="32"/>
          <w:szCs w:val="32"/>
        </w:rPr>
      </w:pPr>
      <w:r>
        <w:rPr>
          <w:rFonts w:ascii="黑体" w:eastAsia="黑体" w:hAnsi="宋体" w:hint="eastAsia"/>
          <w:sz w:val="32"/>
          <w:szCs w:val="32"/>
        </w:rPr>
        <w:t>第五章</w:t>
      </w:r>
      <w:r>
        <w:rPr>
          <w:rFonts w:ascii="Times New Roman" w:eastAsia="黑体" w:hAnsi="Times New Roman" w:cs="Times New Roman"/>
          <w:sz w:val="32"/>
          <w:szCs w:val="32"/>
        </w:rPr>
        <w:t xml:space="preserve">  </w:t>
      </w:r>
      <w:r>
        <w:rPr>
          <w:rFonts w:ascii="黑体" w:eastAsia="黑体" w:hAnsi="宋体" w:hint="eastAsia"/>
          <w:sz w:val="32"/>
          <w:szCs w:val="32"/>
        </w:rPr>
        <w:t>预算执行和监督</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 </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第十二条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仿宋" w:eastAsia="仿宋" w:hAnsi="仿宋" w:cs="仿宋" w:hint="eastAsia"/>
          <w:sz w:val="32"/>
          <w:szCs w:val="32"/>
        </w:rPr>
        <w:t>农村综合改革转移支付资金的支付应当按照国库集中支付制度有关规定执行，对县的补助资金直拨到县（市）。涉及政府采购的，应当按照政府采购法律制度规定执行。</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第十三条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仿宋" w:eastAsia="仿宋" w:hAnsi="仿宋" w:cs="仿宋" w:hint="eastAsia"/>
          <w:sz w:val="32"/>
          <w:szCs w:val="32"/>
        </w:rPr>
        <w:t>各级财政部门要加强农村综合改革转移支付资金管理，自觉依法接受审计监督和财会监督。</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第十四条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仿宋" w:eastAsia="仿宋" w:hAnsi="仿宋" w:cs="仿宋" w:hint="eastAsia"/>
          <w:sz w:val="32"/>
          <w:szCs w:val="32"/>
        </w:rPr>
        <w:t>各级财政部门要按照全面实施预算绩效管理的要求，建立健全全过程预算绩效管理机制。市县财政部门要对照绩效目标按要求开展绩效运行监控和绩效自评，及时发现并纠正存在的问题，确保绩效目标如期实现。</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 xml:space="preserve">第十五条 </w:t>
      </w:r>
      <w:r>
        <w:rPr>
          <w:rFonts w:ascii="Times New Roman" w:eastAsia="仿宋" w:hAnsi="Times New Roman" w:cs="Times New Roman"/>
          <w:sz w:val="32"/>
          <w:szCs w:val="32"/>
        </w:rPr>
        <w:t xml:space="preserve"> </w:t>
      </w:r>
      <w:r>
        <w:rPr>
          <w:rFonts w:ascii="仿宋" w:eastAsia="仿宋" w:hAnsi="仿宋" w:cs="仿宋" w:hint="eastAsia"/>
          <w:sz w:val="32"/>
          <w:szCs w:val="32"/>
        </w:rPr>
        <w:t>省财政厅对各地自评结果进行审核汇总，根据工作需要适时组织开展重点绩效评价，并将绩效评价结果采取适当方式进行通报。</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第十六条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仿宋" w:eastAsia="仿宋" w:hAnsi="仿宋" w:cs="仿宋" w:hint="eastAsia"/>
          <w:sz w:val="32"/>
          <w:szCs w:val="32"/>
        </w:rPr>
        <w:t>各级财政部门要加强绩效评价结果运用，将绩效评价结果作为预算安排、改进管理、完善政策的重要依据，省财政厅将在资金分配、竞争性立项项目申报等相关工作中予以体现。</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第十七条</w:t>
      </w:r>
      <w:r>
        <w:rPr>
          <w:rFonts w:ascii="仿宋" w:eastAsia="仿宋" w:hAnsi="仿宋" w:cs="仿宋" w:hint="eastAsia"/>
          <w:b/>
          <w:sz w:val="32"/>
          <w:szCs w:val="32"/>
        </w:rPr>
        <w:t xml:space="preserve"> </w:t>
      </w:r>
      <w:r>
        <w:rPr>
          <w:rFonts w:ascii="Times New Roman" w:eastAsia="仿宋" w:hAnsi="Times New Roman" w:cs="Times New Roman"/>
          <w:sz w:val="32"/>
          <w:szCs w:val="32"/>
        </w:rPr>
        <w:t xml:space="preserve"> </w:t>
      </w:r>
      <w:r>
        <w:rPr>
          <w:rFonts w:ascii="仿宋" w:eastAsia="仿宋" w:hAnsi="仿宋" w:cs="仿宋" w:hint="eastAsia"/>
          <w:sz w:val="32"/>
          <w:szCs w:val="32"/>
        </w:rPr>
        <w:t>市县财政部门要会同有关部门做实项目前期准备等工作，及时将资金落实到具体项目，依法合规加快预算执行进度，按照项目进度科学安排支出，严禁</w:t>
      </w:r>
      <w:r>
        <w:rPr>
          <w:rFonts w:ascii="Times New Roman" w:eastAsia="仿宋" w:hAnsi="Times New Roman" w:cs="Times New Roman"/>
          <w:sz w:val="32"/>
          <w:szCs w:val="32"/>
        </w:rPr>
        <w:t>“</w:t>
      </w:r>
      <w:r>
        <w:rPr>
          <w:rFonts w:ascii="仿宋" w:eastAsia="仿宋" w:hAnsi="仿宋" w:cs="仿宋" w:hint="eastAsia"/>
          <w:sz w:val="32"/>
          <w:szCs w:val="32"/>
        </w:rPr>
        <w:t>以拨代支</w:t>
      </w:r>
      <w:r>
        <w:rPr>
          <w:rFonts w:ascii="Times New Roman" w:eastAsia="仿宋" w:hAnsi="Times New Roman" w:cs="Times New Roman"/>
          <w:sz w:val="32"/>
          <w:szCs w:val="32"/>
        </w:rPr>
        <w:t>”</w:t>
      </w:r>
      <w:r>
        <w:rPr>
          <w:rFonts w:ascii="仿宋" w:eastAsia="仿宋" w:hAnsi="仿宋" w:cs="仿宋" w:hint="eastAsia"/>
          <w:sz w:val="32"/>
          <w:szCs w:val="32"/>
        </w:rPr>
        <w:t>和违规整合。结转结余资金按照盘活财政存量资金有关要求处理。</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 xml:space="preserve">第十八条 </w:t>
      </w:r>
      <w:r>
        <w:rPr>
          <w:rFonts w:ascii="Times New Roman" w:eastAsia="仿宋" w:hAnsi="Times New Roman" w:cs="Times New Roman" w:hint="eastAsia"/>
          <w:sz w:val="32"/>
          <w:szCs w:val="32"/>
        </w:rPr>
        <w:t xml:space="preserve"> </w:t>
      </w:r>
      <w:r>
        <w:rPr>
          <w:rFonts w:ascii="仿宋" w:eastAsia="仿宋" w:hAnsi="仿宋" w:cs="仿宋" w:hint="eastAsia"/>
          <w:sz w:val="32"/>
          <w:szCs w:val="32"/>
        </w:rPr>
        <w:t>各级财政部门、有关管理部门及其工作人员在资金分配、项目安排工作中，存在违反规定分配资金、向不符合条</w:t>
      </w:r>
      <w:r>
        <w:rPr>
          <w:rFonts w:ascii="仿宋" w:eastAsia="仿宋" w:hAnsi="仿宋" w:cs="仿宋" w:hint="eastAsia"/>
          <w:sz w:val="32"/>
          <w:szCs w:val="32"/>
        </w:rPr>
        <w:lastRenderedPageBreak/>
        <w:t>件的单位（或项目）分配资金或擅自超出规定的范围或标准分配资金，弄虚作假或挤占、挪用、滞留资金以及其他滥用职权、玩忽职守、徇私舞弊等违法违纪行为的，依法依规追究相应责任。</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4F7471" w:rsidRDefault="00992286">
      <w:pPr>
        <w:autoSpaceDE w:val="0"/>
        <w:spacing w:line="600" w:lineRule="exact"/>
        <w:ind w:firstLineChars="200" w:firstLine="640"/>
        <w:jc w:val="center"/>
        <w:rPr>
          <w:rFonts w:ascii="Times New Roman" w:eastAsia="黑体" w:hAnsi="Times New Roman" w:cs="Times New Roman"/>
          <w:sz w:val="32"/>
          <w:szCs w:val="32"/>
        </w:rPr>
      </w:pPr>
      <w:r>
        <w:rPr>
          <w:rFonts w:ascii="黑体" w:eastAsia="黑体" w:hAnsi="宋体" w:hint="eastAsia"/>
          <w:sz w:val="32"/>
          <w:szCs w:val="32"/>
        </w:rPr>
        <w:t>第六章</w:t>
      </w:r>
      <w:r>
        <w:rPr>
          <w:rFonts w:ascii="Times New Roman" w:eastAsia="黑体" w:hAnsi="Times New Roman" w:cs="Times New Roman"/>
          <w:sz w:val="32"/>
          <w:szCs w:val="32"/>
        </w:rPr>
        <w:t xml:space="preserve">  </w:t>
      </w:r>
      <w:r>
        <w:rPr>
          <w:rFonts w:ascii="黑体" w:eastAsia="黑体" w:hAnsi="宋体" w:hint="eastAsia"/>
          <w:sz w:val="32"/>
          <w:szCs w:val="32"/>
        </w:rPr>
        <w:t>附</w:t>
      </w:r>
      <w:r>
        <w:rPr>
          <w:rFonts w:ascii="Times New Roman" w:eastAsia="黑体" w:hAnsi="Times New Roman" w:cs="Times New Roman"/>
          <w:sz w:val="32"/>
          <w:szCs w:val="32"/>
        </w:rPr>
        <w:t xml:space="preserve">  </w:t>
      </w:r>
      <w:r>
        <w:rPr>
          <w:rFonts w:ascii="黑体" w:eastAsia="黑体" w:hAnsi="宋体" w:hint="eastAsia"/>
          <w:sz w:val="32"/>
          <w:szCs w:val="32"/>
        </w:rPr>
        <w:t>则</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4F7471" w:rsidRDefault="00992286">
      <w:pPr>
        <w:autoSpaceDE w:val="0"/>
        <w:spacing w:line="600" w:lineRule="exact"/>
        <w:ind w:firstLineChars="200" w:firstLine="640"/>
        <w:rPr>
          <w:rFonts w:ascii="Times New Roman" w:eastAsia="仿宋" w:hAnsi="Times New Roman" w:cs="Times New Roman"/>
          <w:sz w:val="32"/>
          <w:szCs w:val="32"/>
        </w:rPr>
      </w:pPr>
      <w:r>
        <w:rPr>
          <w:rFonts w:ascii="黑体" w:eastAsia="黑体" w:hAnsi="黑体" w:hint="eastAsia"/>
          <w:bCs/>
          <w:sz w:val="32"/>
          <w:szCs w:val="32"/>
        </w:rPr>
        <w:t>第十九条</w:t>
      </w:r>
      <w:r>
        <w:rPr>
          <w:rFonts w:ascii="仿宋" w:eastAsia="仿宋" w:hAnsi="仿宋" w:cs="仿宋" w:hint="eastAsia"/>
          <w:b/>
          <w:sz w:val="32"/>
          <w:szCs w:val="32"/>
        </w:rPr>
        <w:t xml:space="preserve"> </w:t>
      </w:r>
      <w:r>
        <w:rPr>
          <w:rFonts w:ascii="Times New Roman" w:eastAsia="仿宋" w:hAnsi="Times New Roman" w:cs="Times New Roman"/>
          <w:sz w:val="32"/>
          <w:szCs w:val="32"/>
        </w:rPr>
        <w:t xml:space="preserve"> </w:t>
      </w:r>
      <w:r>
        <w:rPr>
          <w:rFonts w:ascii="仿宋" w:eastAsia="仿宋" w:hAnsi="仿宋" w:cs="仿宋" w:hint="eastAsia"/>
          <w:sz w:val="32"/>
          <w:szCs w:val="32"/>
        </w:rPr>
        <w:t>各市财政部门可依据本办法，结合当地工作实际，制定具体管理办法或实施细则。</w:t>
      </w:r>
    </w:p>
    <w:p w:rsidR="004F7471" w:rsidRDefault="00992286">
      <w:pPr>
        <w:autoSpaceDE w:val="0"/>
        <w:spacing w:line="600" w:lineRule="exact"/>
        <w:ind w:firstLineChars="200" w:firstLine="640"/>
        <w:rPr>
          <w:rFonts w:ascii="仿宋" w:eastAsia="仿宋" w:hAnsi="仿宋" w:cs="仿宋"/>
          <w:sz w:val="32"/>
          <w:szCs w:val="32"/>
        </w:rPr>
      </w:pPr>
      <w:r>
        <w:rPr>
          <w:rFonts w:ascii="黑体" w:eastAsia="黑体" w:hAnsi="黑体" w:hint="eastAsia"/>
          <w:bCs/>
          <w:sz w:val="32"/>
          <w:szCs w:val="32"/>
        </w:rPr>
        <w:t xml:space="preserve">第二十条  </w:t>
      </w:r>
      <w:r>
        <w:rPr>
          <w:rFonts w:ascii="仿宋" w:eastAsia="仿宋" w:hAnsi="仿宋" w:cs="仿宋" w:hint="eastAsia"/>
          <w:sz w:val="32"/>
          <w:szCs w:val="32"/>
        </w:rPr>
        <w:t>本办法自发布之日起实施，有效期至2028年12月31日。《关于印发辽宁省一事一议财政奖补村内道路建设项目管理办法的通知》（辽农改办〔2014〕10号）《关于完善一事一议村内道路建设有关政策的通知》（辽财债管〔2021〕271号）以及《关于印发辽宁省“五好两宜”和美乡村试点建设财政奖补资金管理暂行办法的通知》（辽财农规〔2023〕16号）同时废止。</w:t>
      </w:r>
    </w:p>
    <w:sectPr w:rsidR="004F7471" w:rsidSect="004F7471">
      <w:footerReference w:type="default" r:id="rId7"/>
      <w:pgSz w:w="11906" w:h="16838"/>
      <w:pgMar w:top="1701" w:right="1417" w:bottom="1701" w:left="1417" w:header="57" w:footer="130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237" w:rsidRDefault="00773237" w:rsidP="004F7471">
      <w:r>
        <w:separator/>
      </w:r>
    </w:p>
  </w:endnote>
  <w:endnote w:type="continuationSeparator" w:id="0">
    <w:p w:rsidR="00773237" w:rsidRDefault="00773237" w:rsidP="004F7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Malgun Gothic Semilight"/>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471" w:rsidRDefault="00010D33">
    <w:pPr>
      <w:pStyle w:val="a4"/>
    </w:pPr>
    <w:r>
      <w:pict>
        <v:rect id="文本框 1" o:spid="_x0000_s2049" style="position:absolute;margin-left:0;margin-top:0;width:2in;height:2in;z-index:251658240;mso-wrap-style:none;mso-position-horizontal:center;mso-position-horizontal-relative:margin" o:preferrelative="t" filled="f" stroked="f">
          <v:textbox style="mso-fit-shape-to-text:t" inset="0,0,0,0">
            <w:txbxContent>
              <w:p w:rsidR="004F7471" w:rsidRDefault="00010D33">
                <w:pPr>
                  <w:snapToGrid w:val="0"/>
                  <w:rPr>
                    <w:sz w:val="18"/>
                  </w:rPr>
                </w:pPr>
                <w:r>
                  <w:rPr>
                    <w:rFonts w:hint="eastAsia"/>
                    <w:sz w:val="18"/>
                  </w:rPr>
                  <w:fldChar w:fldCharType="begin"/>
                </w:r>
                <w:r w:rsidR="00992286">
                  <w:rPr>
                    <w:rFonts w:hint="eastAsia"/>
                    <w:sz w:val="18"/>
                  </w:rPr>
                  <w:instrText xml:space="preserve"> PAGE  \* MERGEFORMAT </w:instrText>
                </w:r>
                <w:r>
                  <w:rPr>
                    <w:rFonts w:hint="eastAsia"/>
                    <w:sz w:val="18"/>
                  </w:rPr>
                  <w:fldChar w:fldCharType="separate"/>
                </w:r>
                <w:r w:rsidR="00005647">
                  <w:rPr>
                    <w:noProof/>
                    <w:sz w:val="18"/>
                  </w:rPr>
                  <w:t>7</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237" w:rsidRDefault="00773237" w:rsidP="004F7471">
      <w:r>
        <w:separator/>
      </w:r>
    </w:p>
  </w:footnote>
  <w:footnote w:type="continuationSeparator" w:id="0">
    <w:p w:rsidR="00773237" w:rsidRDefault="00773237" w:rsidP="004F74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9FBFE50F"/>
    <w:rsid w:val="AD7F3071"/>
    <w:rsid w:val="B5F952A6"/>
    <w:rsid w:val="BF76D718"/>
    <w:rsid w:val="C0EB4840"/>
    <w:rsid w:val="EE6FA9ED"/>
    <w:rsid w:val="EF9F4606"/>
    <w:rsid w:val="EFB743DA"/>
    <w:rsid w:val="FCCEA871"/>
    <w:rsid w:val="FDBF2691"/>
    <w:rsid w:val="FDFDFDC1"/>
    <w:rsid w:val="FEFD7B1E"/>
    <w:rsid w:val="FEFF950F"/>
    <w:rsid w:val="FF4BC2CE"/>
    <w:rsid w:val="FFEBEAFF"/>
    <w:rsid w:val="FFF62379"/>
    <w:rsid w:val="FFFB8F41"/>
    <w:rsid w:val="00005647"/>
    <w:rsid w:val="00010D33"/>
    <w:rsid w:val="00094A05"/>
    <w:rsid w:val="00172A27"/>
    <w:rsid w:val="002F40E7"/>
    <w:rsid w:val="00375799"/>
    <w:rsid w:val="003C6070"/>
    <w:rsid w:val="004F7471"/>
    <w:rsid w:val="00773237"/>
    <w:rsid w:val="00992286"/>
    <w:rsid w:val="009B0B14"/>
    <w:rsid w:val="00D63D95"/>
    <w:rsid w:val="00D64339"/>
    <w:rsid w:val="00D82274"/>
    <w:rsid w:val="00DF536C"/>
    <w:rsid w:val="00DF6F58"/>
    <w:rsid w:val="00F50A14"/>
    <w:rsid w:val="07F4486B"/>
    <w:rsid w:val="0EDC354C"/>
    <w:rsid w:val="11EF23BD"/>
    <w:rsid w:val="17901AAB"/>
    <w:rsid w:val="186917DA"/>
    <w:rsid w:val="19202BCC"/>
    <w:rsid w:val="1A0B2305"/>
    <w:rsid w:val="1B7D6EAA"/>
    <w:rsid w:val="1FAD2EA4"/>
    <w:rsid w:val="221E2F2A"/>
    <w:rsid w:val="271A6288"/>
    <w:rsid w:val="29F06E5A"/>
    <w:rsid w:val="2A922A24"/>
    <w:rsid w:val="2DBFEFDC"/>
    <w:rsid w:val="2FDF1987"/>
    <w:rsid w:val="2FEF2B75"/>
    <w:rsid w:val="377E2D3B"/>
    <w:rsid w:val="3823623D"/>
    <w:rsid w:val="4420435B"/>
    <w:rsid w:val="449E1491"/>
    <w:rsid w:val="457D31CA"/>
    <w:rsid w:val="51AC2A64"/>
    <w:rsid w:val="53637345"/>
    <w:rsid w:val="554F39E0"/>
    <w:rsid w:val="5788E8AC"/>
    <w:rsid w:val="57994C0D"/>
    <w:rsid w:val="5A1FAE83"/>
    <w:rsid w:val="5BF7C681"/>
    <w:rsid w:val="5E6F39A0"/>
    <w:rsid w:val="5FEDB7CF"/>
    <w:rsid w:val="69887BC5"/>
    <w:rsid w:val="6A57D1F4"/>
    <w:rsid w:val="6B379CE7"/>
    <w:rsid w:val="6F011087"/>
    <w:rsid w:val="6FAC0558"/>
    <w:rsid w:val="6FAFCF4A"/>
    <w:rsid w:val="75FBC00E"/>
    <w:rsid w:val="77370890"/>
    <w:rsid w:val="777B2B93"/>
    <w:rsid w:val="78240EE6"/>
    <w:rsid w:val="7CBF6C78"/>
    <w:rsid w:val="7D945604"/>
    <w:rsid w:val="7DE657CD"/>
    <w:rsid w:val="7FD5854B"/>
    <w:rsid w:val="7FED730E"/>
    <w:rsid w:val="7FFE7253"/>
    <w:rsid w:val="7FFF33E3"/>
    <w:rsid w:val="9BAE15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F7471"/>
    <w:pPr>
      <w:widowControl w:val="0"/>
      <w:jc w:val="both"/>
    </w:pPr>
    <w:rPr>
      <w:rFonts w:ascii="Calibri" w:hAnsi="Calibri"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rsid w:val="004F7471"/>
    <w:pPr>
      <w:ind w:leftChars="200" w:left="420"/>
    </w:pPr>
  </w:style>
  <w:style w:type="paragraph" w:styleId="a4">
    <w:name w:val="footer"/>
    <w:basedOn w:val="a"/>
    <w:qFormat/>
    <w:rsid w:val="004F7471"/>
    <w:pPr>
      <w:tabs>
        <w:tab w:val="center" w:pos="4153"/>
        <w:tab w:val="right" w:pos="8306"/>
      </w:tabs>
      <w:snapToGrid w:val="0"/>
      <w:jc w:val="left"/>
    </w:pPr>
    <w:rPr>
      <w:sz w:val="18"/>
    </w:rPr>
  </w:style>
  <w:style w:type="paragraph" w:styleId="a5">
    <w:name w:val="header"/>
    <w:basedOn w:val="a"/>
    <w:qFormat/>
    <w:rsid w:val="004F74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5">
    <w:name w:val="15"/>
    <w:basedOn w:val="a1"/>
    <w:qFormat/>
    <w:rsid w:val="004F7471"/>
    <w:rPr>
      <w:rFonts w:ascii="Times New Roman" w:eastAsia="宋体" w:hAnsi="Times New Roman" w:cs="Times New Roman" w:hint="default"/>
      <w:b/>
      <w:kern w:val="44"/>
      <w:sz w:val="44"/>
      <w:szCs w:val="44"/>
    </w:rPr>
  </w:style>
  <w:style w:type="paragraph" w:styleId="a6">
    <w:name w:val="Balloon Text"/>
    <w:basedOn w:val="a"/>
    <w:link w:val="Char"/>
    <w:rsid w:val="00D64339"/>
    <w:rPr>
      <w:sz w:val="18"/>
      <w:szCs w:val="18"/>
    </w:rPr>
  </w:style>
  <w:style w:type="character" w:customStyle="1" w:styleId="Char">
    <w:name w:val="批注框文本 Char"/>
    <w:basedOn w:val="a1"/>
    <w:link w:val="a6"/>
    <w:rsid w:val="00D64339"/>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448</Words>
  <Characters>2559</Characters>
  <Application>Microsoft Office Word</Application>
  <DocSecurity>0</DocSecurity>
  <Lines>21</Lines>
  <Paragraphs>6</Paragraphs>
  <ScaleCrop>false</ScaleCrop>
  <Company>Kingsoft</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辽宁省财政厅文件</dc:title>
  <dc:creator>zhaoxinlei</dc:creator>
  <cp:lastModifiedBy>F</cp:lastModifiedBy>
  <cp:revision>6</cp:revision>
  <cp:lastPrinted>2024-10-18T06:29:00Z</cp:lastPrinted>
  <dcterms:created xsi:type="dcterms:W3CDTF">2025-06-12T11:02:00Z</dcterms:created>
  <dcterms:modified xsi:type="dcterms:W3CDTF">2025-06-12T11:04:00Z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